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B1670" w14:textId="77777777" w:rsidR="00646595" w:rsidRDefault="00FF5E9B">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bookmarkStart w:id="0" w:name="OLE_LINK25"/>
      <w:bookmarkStart w:id="1" w:name="OLE_LINK24"/>
      <w:bookmarkStart w:id="2" w:name="OLE_LINK13"/>
      <w:bookmarkStart w:id="3" w:name="OLE_LINK12"/>
      <w:bookmarkStart w:id="4" w:name="OLE_LINK34"/>
      <w:bookmarkStart w:id="5" w:name="OLE_LINK33"/>
      <w:r>
        <w:rPr>
          <w:rFonts w:ascii="Arial" w:eastAsia="宋体" w:hAnsi="Arial" w:hint="eastAsia"/>
          <w:b/>
          <w:lang w:eastAsia="ja-JP"/>
        </w:rPr>
        <w:t>3GPP TSG RAN WG1</w:t>
      </w:r>
      <w:r>
        <w:rPr>
          <w:rFonts w:ascii="Arial" w:eastAsia="宋体" w:hAnsi="Arial" w:hint="eastAsia"/>
          <w:b/>
        </w:rPr>
        <w:t xml:space="preserve"> #96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901639</w:t>
      </w:r>
      <w:r>
        <w:rPr>
          <w:rFonts w:ascii="Arial" w:eastAsia="宋体" w:hAnsi="Arial" w:hint="eastAsia"/>
          <w:b/>
          <w:lang w:eastAsia="ja-JP"/>
        </w:rPr>
        <w:t xml:space="preserve">                                                                       </w:t>
      </w:r>
    </w:p>
    <w:p w14:paraId="3E98A553" w14:textId="77777777" w:rsidR="00646595" w:rsidRDefault="00FF5E9B">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lang w:eastAsia="ja-JP"/>
        </w:rPr>
        <w:t>Athens, Greece, 25</w:t>
      </w:r>
      <w:r>
        <w:rPr>
          <w:rFonts w:ascii="Arial" w:eastAsia="宋体" w:hAnsi="Arial" w:hint="eastAsia"/>
          <w:b/>
          <w:vertAlign w:val="superscript"/>
          <w:lang w:eastAsia="ja-JP"/>
        </w:rPr>
        <w:t>th</w:t>
      </w:r>
      <w:r>
        <w:rPr>
          <w:rFonts w:ascii="Arial" w:eastAsia="宋体" w:hAnsi="Arial" w:hint="eastAsia"/>
          <w:b/>
          <w:lang w:eastAsia="ja-JP"/>
        </w:rPr>
        <w:t xml:space="preserve"> February</w:t>
      </w:r>
      <w:r>
        <w:rPr>
          <w:rFonts w:ascii="Arial" w:eastAsia="宋体" w:hAnsi="Arial" w:hint="eastAsia"/>
          <w:b/>
        </w:rPr>
        <w:t xml:space="preserve"> -</w:t>
      </w:r>
      <w:r>
        <w:rPr>
          <w:rFonts w:ascii="Arial" w:eastAsia="宋体" w:hAnsi="Arial" w:hint="eastAsia"/>
          <w:b/>
          <w:lang w:eastAsia="ja-JP"/>
        </w:rPr>
        <w:t xml:space="preserve"> 1</w:t>
      </w:r>
      <w:r>
        <w:rPr>
          <w:rFonts w:ascii="Arial" w:eastAsia="宋体" w:hAnsi="Arial" w:hint="eastAsia"/>
          <w:b/>
          <w:vertAlign w:val="superscript"/>
          <w:lang w:eastAsia="ja-JP"/>
        </w:rPr>
        <w:t>st</w:t>
      </w:r>
      <w:r>
        <w:rPr>
          <w:rFonts w:ascii="Arial" w:eastAsia="宋体" w:hAnsi="Arial" w:hint="eastAsia"/>
          <w:b/>
          <w:lang w:eastAsia="ja-JP"/>
        </w:rPr>
        <w:t xml:space="preserve"> </w:t>
      </w:r>
      <w:proofErr w:type="gramStart"/>
      <w:r>
        <w:rPr>
          <w:rFonts w:ascii="Arial" w:eastAsia="宋体" w:hAnsi="Arial" w:hint="eastAsia"/>
          <w:b/>
          <w:lang w:eastAsia="ja-JP"/>
        </w:rPr>
        <w:t>March,</w:t>
      </w:r>
      <w:proofErr w:type="gramEnd"/>
      <w:r>
        <w:rPr>
          <w:rFonts w:ascii="Arial" w:eastAsia="宋体" w:hAnsi="Arial" w:hint="eastAsia"/>
          <w:b/>
          <w:lang w:eastAsia="ja-JP"/>
        </w:rPr>
        <w:t xml:space="preserve"> 201</w:t>
      </w:r>
      <w:r>
        <w:rPr>
          <w:rFonts w:ascii="Arial" w:eastAsia="宋体" w:hAnsi="Arial" w:hint="eastAsia"/>
          <w:b/>
        </w:rPr>
        <w:t>9</w:t>
      </w:r>
    </w:p>
    <w:p w14:paraId="010B2471" w14:textId="77777777" w:rsidR="00646595" w:rsidRDefault="00646595">
      <w:pPr>
        <w:tabs>
          <w:tab w:val="center" w:pos="4536"/>
          <w:tab w:val="right" w:pos="8280"/>
          <w:tab w:val="right" w:pos="9639"/>
        </w:tabs>
        <w:snapToGrid w:val="0"/>
        <w:spacing w:after="0" w:line="240" w:lineRule="auto"/>
        <w:ind w:left="440" w:right="2" w:hangingChars="200" w:hanging="440"/>
        <w:rPr>
          <w:rFonts w:ascii="Arial" w:eastAsia="宋体" w:hAnsi="Arial"/>
          <w:b/>
        </w:rPr>
      </w:pPr>
    </w:p>
    <w:bookmarkEnd w:id="0"/>
    <w:p w14:paraId="2381BAE0" w14:textId="77777777" w:rsidR="00646595" w:rsidRDefault="00FF5E9B">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Source:         ZTE</w:t>
      </w:r>
    </w:p>
    <w:p w14:paraId="42EAE337" w14:textId="77777777" w:rsidR="00646595" w:rsidRDefault="00FF5E9B">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 xml:space="preserve">Title:            </w:t>
      </w:r>
      <w:r>
        <w:rPr>
          <w:rFonts w:ascii="Arial" w:eastAsia="宋体" w:hAnsi="Arial"/>
          <w:b/>
        </w:rPr>
        <w:t>Additional c</w:t>
      </w:r>
      <w:r>
        <w:rPr>
          <w:rFonts w:ascii="Arial" w:eastAsia="宋体" w:hAnsi="Arial" w:hint="eastAsia"/>
          <w:b/>
        </w:rPr>
        <w:t>onsiderations on beam management for multi-TRP</w:t>
      </w:r>
    </w:p>
    <w:bookmarkEnd w:id="1"/>
    <w:p w14:paraId="481B9108" w14:textId="77777777" w:rsidR="00646595" w:rsidRDefault="00FF5E9B">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7.2.8.6</w:t>
      </w:r>
    </w:p>
    <w:bookmarkEnd w:id="2"/>
    <w:bookmarkEnd w:id="3"/>
    <w:bookmarkEnd w:id="4"/>
    <w:bookmarkEnd w:id="5"/>
    <w:p w14:paraId="6497AC2E" w14:textId="77777777" w:rsidR="00646595" w:rsidRDefault="00FF5E9B">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29B55D78" w14:textId="77777777" w:rsidR="00646595" w:rsidRDefault="00FF5E9B">
      <w:pPr>
        <w:pStyle w:val="Heading1"/>
        <w:snapToGrid w:val="0"/>
        <w:spacing w:beforeLines="50" w:before="180" w:afterLines="50" w:after="180"/>
        <w:ind w:left="431" w:hanging="431"/>
        <w:rPr>
          <w:sz w:val="28"/>
          <w:lang w:val="en-US"/>
        </w:rPr>
      </w:pPr>
      <w:r>
        <w:rPr>
          <w:sz w:val="28"/>
          <w:lang w:val="en-US"/>
        </w:rPr>
        <w:t>Introduction</w:t>
      </w:r>
    </w:p>
    <w:p w14:paraId="2DCF88A1" w14:textId="77777777" w:rsidR="00646595" w:rsidRDefault="00FF5E9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both single PDCCH and multiple PDCCH designs were agreed as follows [1]</w:t>
      </w:r>
    </w:p>
    <w:p w14:paraId="0DB95FA2" w14:textId="77777777" w:rsidR="00646595" w:rsidRDefault="00FF5E9B">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Agreement#1:</w:t>
      </w:r>
    </w:p>
    <w:p w14:paraId="1B9686D9" w14:textId="77777777" w:rsidR="00646595" w:rsidRDefault="00FF5E9B">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multi-TRP/panel </w:t>
      </w:r>
      <w:r>
        <w:rPr>
          <w:rFonts w:ascii="Times New Roman" w:hAnsi="Times New Roman"/>
          <w:i/>
          <w:iCs/>
          <w:sz w:val="20"/>
          <w:szCs w:val="20"/>
        </w:rPr>
        <w:t>transmission, both multiple PDCCH and single PDCCH designs are supported in Rel-16</w:t>
      </w:r>
    </w:p>
    <w:p w14:paraId="78BFE0C3" w14:textId="77777777" w:rsidR="00646595" w:rsidRDefault="00FF5E9B">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 xml:space="preserve">Applies for </w:t>
      </w:r>
      <w:proofErr w:type="spellStart"/>
      <w:r>
        <w:rPr>
          <w:rFonts w:ascii="Times New Roman" w:hAnsi="Times New Roman"/>
          <w:i/>
          <w:iCs/>
          <w:sz w:val="20"/>
          <w:szCs w:val="20"/>
        </w:rPr>
        <w:t>eMBB</w:t>
      </w:r>
      <w:proofErr w:type="spellEnd"/>
    </w:p>
    <w:p w14:paraId="741E7FF0" w14:textId="77777777" w:rsidR="00646595" w:rsidRDefault="00646595">
      <w:pPr>
        <w:numPr>
          <w:ilvl w:val="255"/>
          <w:numId w:val="0"/>
        </w:numPr>
        <w:snapToGrid w:val="0"/>
        <w:spacing w:after="0" w:line="240" w:lineRule="auto"/>
        <w:ind w:left="360"/>
        <w:jc w:val="both"/>
        <w:rPr>
          <w:rFonts w:ascii="Times New Roman" w:hAnsi="Times New Roman"/>
          <w:sz w:val="20"/>
          <w:szCs w:val="20"/>
        </w:rPr>
      </w:pPr>
    </w:p>
    <w:p w14:paraId="511F17FE" w14:textId="77777777" w:rsidR="00646595" w:rsidRDefault="00FF5E9B">
      <w:pPr>
        <w:numPr>
          <w:ilvl w:val="255"/>
          <w:numId w:val="0"/>
        </w:numPr>
        <w:snapToGrid w:val="0"/>
        <w:spacing w:after="0" w:line="240" w:lineRule="auto"/>
        <w:jc w:val="both"/>
        <w:rPr>
          <w:rFonts w:ascii="Times New Roman" w:hAnsi="Times New Roman"/>
          <w:i/>
          <w:iCs/>
          <w:sz w:val="20"/>
          <w:szCs w:val="20"/>
        </w:rPr>
      </w:pPr>
      <w:r>
        <w:rPr>
          <w:rFonts w:ascii="Times New Roman" w:hAnsi="Times New Roman"/>
          <w:sz w:val="20"/>
          <w:szCs w:val="20"/>
        </w:rPr>
        <w:t xml:space="preserve">In </w:t>
      </w:r>
      <w:r>
        <w:rPr>
          <w:rFonts w:ascii="Times New Roman" w:hAnsi="Times New Roman" w:hint="eastAsia"/>
          <w:sz w:val="20"/>
          <w:szCs w:val="20"/>
        </w:rPr>
        <w:t xml:space="preserve">NR </w:t>
      </w:r>
      <w:r>
        <w:rPr>
          <w:rFonts w:ascii="Times New Roman" w:hAnsi="Times New Roman"/>
          <w:sz w:val="20"/>
          <w:szCs w:val="20"/>
        </w:rPr>
        <w:t xml:space="preserve">RAN1 </w:t>
      </w:r>
      <w:r>
        <w:rPr>
          <w:rFonts w:ascii="Times New Roman" w:hAnsi="Times New Roman" w:hint="eastAsia"/>
          <w:sz w:val="20"/>
          <w:szCs w:val="20"/>
        </w:rPr>
        <w:t>AH</w:t>
      </w:r>
      <w:r>
        <w:rPr>
          <w:rFonts w:ascii="Times New Roman" w:hAnsi="Times New Roman"/>
          <w:sz w:val="20"/>
          <w:szCs w:val="20"/>
        </w:rPr>
        <w:t>1901, four schem</w:t>
      </w:r>
      <w:r>
        <w:rPr>
          <w:rFonts w:ascii="Times New Roman" w:hAnsi="Times New Roman" w:hint="eastAsia"/>
          <w:sz w:val="20"/>
          <w:szCs w:val="20"/>
        </w:rPr>
        <w:t>e</w:t>
      </w:r>
      <w:r>
        <w:rPr>
          <w:rFonts w:ascii="Times New Roman" w:hAnsi="Times New Roman"/>
          <w:sz w:val="20"/>
          <w:szCs w:val="20"/>
        </w:rPr>
        <w:t xml:space="preserve">s for URLLC with multi-TRP transmission </w:t>
      </w:r>
      <w:r>
        <w:rPr>
          <w:rFonts w:ascii="Times New Roman" w:hAnsi="Times New Roman" w:hint="eastAsia"/>
          <w:sz w:val="20"/>
          <w:szCs w:val="20"/>
        </w:rPr>
        <w:t xml:space="preserve">were listed </w:t>
      </w:r>
      <w:r>
        <w:rPr>
          <w:rFonts w:ascii="Times New Roman" w:hAnsi="Times New Roman"/>
          <w:sz w:val="20"/>
          <w:szCs w:val="20"/>
        </w:rPr>
        <w:t xml:space="preserve">as </w:t>
      </w:r>
      <w:proofErr w:type="gramStart"/>
      <w:r>
        <w:rPr>
          <w:rFonts w:ascii="Times New Roman" w:hAnsi="Times New Roman"/>
          <w:sz w:val="20"/>
          <w:szCs w:val="20"/>
        </w:rPr>
        <w:t>follows[</w:t>
      </w:r>
      <w:proofErr w:type="gramEnd"/>
      <w:r>
        <w:rPr>
          <w:rFonts w:ascii="Times New Roman" w:hAnsi="Times New Roman"/>
          <w:sz w:val="20"/>
          <w:szCs w:val="20"/>
        </w:rPr>
        <w:t>3].</w:t>
      </w:r>
      <w:r>
        <w:rPr>
          <w:rFonts w:ascii="Times New Roman" w:hAnsi="Times New Roman" w:hint="eastAsia"/>
          <w:i/>
          <w:iCs/>
          <w:sz w:val="20"/>
          <w:szCs w:val="20"/>
        </w:rPr>
        <w:t xml:space="preserve"> </w:t>
      </w:r>
    </w:p>
    <w:p w14:paraId="30E84437" w14:textId="77777777" w:rsidR="00646595" w:rsidRDefault="00FF5E9B">
      <w:pPr>
        <w:numPr>
          <w:ilvl w:val="255"/>
          <w:numId w:val="0"/>
        </w:numPr>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 </w:t>
      </w:r>
    </w:p>
    <w:p w14:paraId="598DBCC2" w14:textId="77777777" w:rsidR="00646595" w:rsidRDefault="00FF5E9B">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Agreement#2:</w:t>
      </w:r>
    </w:p>
    <w:p w14:paraId="2D8F42F5" w14:textId="77777777" w:rsidR="00646595" w:rsidRPr="00D80CEE" w:rsidRDefault="00FF5E9B">
      <w:pPr>
        <w:snapToGrid w:val="0"/>
        <w:spacing w:after="0" w:line="240" w:lineRule="auto"/>
        <w:jc w:val="both"/>
        <w:rPr>
          <w:rFonts w:ascii="Times New Roman" w:hAnsi="Times New Roman"/>
          <w:bCs/>
          <w:i/>
          <w:iCs/>
          <w:sz w:val="20"/>
          <w:szCs w:val="20"/>
        </w:rPr>
      </w:pPr>
      <w:r w:rsidRPr="00D80CEE">
        <w:rPr>
          <w:rFonts w:ascii="Times New Roman" w:hAnsi="Times New Roman"/>
          <w:bCs/>
          <w:i/>
          <w:iCs/>
          <w:sz w:val="20"/>
          <w:szCs w:val="20"/>
        </w:rPr>
        <w:t xml:space="preserve">For multi-TRP specification support for </w:t>
      </w:r>
      <w:r w:rsidRPr="00D80CEE">
        <w:rPr>
          <w:rFonts w:ascii="Times New Roman" w:hAnsi="Times New Roman"/>
          <w:bCs/>
          <w:i/>
          <w:iCs/>
          <w:sz w:val="20"/>
          <w:szCs w:val="20"/>
        </w:rPr>
        <w:t>URLLC, support at least one of following schemes for transmitting the same transport block from multiple TRPs. Study following schemes for further down-selection for one or more schemes in next meetings</w:t>
      </w:r>
    </w:p>
    <w:p w14:paraId="6C087ABB" w14:textId="77777777" w:rsidR="00646595" w:rsidRPr="00D80CEE" w:rsidRDefault="00FF5E9B">
      <w:pPr>
        <w:numPr>
          <w:ilvl w:val="0"/>
          <w:numId w:val="3"/>
        </w:numPr>
        <w:snapToGrid w:val="0"/>
        <w:spacing w:after="0" w:line="240" w:lineRule="auto"/>
        <w:ind w:left="720" w:hanging="360"/>
        <w:contextualSpacing/>
        <w:jc w:val="both"/>
        <w:rPr>
          <w:rFonts w:ascii="Times New Roman" w:eastAsia="宋体" w:hAnsi="Times New Roman"/>
          <w:bCs/>
          <w:i/>
          <w:iCs/>
          <w:sz w:val="20"/>
          <w:szCs w:val="20"/>
        </w:rPr>
      </w:pPr>
      <w:r w:rsidRPr="00D80CEE">
        <w:rPr>
          <w:rFonts w:ascii="Times New Roman" w:eastAsia="宋体" w:hAnsi="Times New Roman"/>
          <w:bCs/>
          <w:i/>
          <w:iCs/>
          <w:sz w:val="20"/>
          <w:szCs w:val="20"/>
        </w:rPr>
        <w:t xml:space="preserve">Scheme 1 (SDM):  </w:t>
      </w:r>
    </w:p>
    <w:p w14:paraId="1C594DF3" w14:textId="77777777" w:rsidR="00646595" w:rsidRPr="00D80CEE" w:rsidRDefault="00FF5E9B">
      <w:pPr>
        <w:numPr>
          <w:ilvl w:val="0"/>
          <w:numId w:val="3"/>
        </w:numPr>
        <w:snapToGrid w:val="0"/>
        <w:spacing w:after="0" w:line="240" w:lineRule="auto"/>
        <w:ind w:left="720" w:hanging="360"/>
        <w:contextualSpacing/>
        <w:jc w:val="both"/>
        <w:rPr>
          <w:rFonts w:ascii="Times New Roman" w:eastAsia="宋体" w:hAnsi="Times New Roman"/>
          <w:bCs/>
          <w:i/>
          <w:iCs/>
          <w:sz w:val="20"/>
          <w:szCs w:val="20"/>
        </w:rPr>
      </w:pPr>
      <w:r w:rsidRPr="00D80CEE">
        <w:rPr>
          <w:rFonts w:ascii="Times New Roman" w:eastAsia="宋体" w:hAnsi="Times New Roman"/>
          <w:bCs/>
          <w:i/>
          <w:iCs/>
          <w:sz w:val="20"/>
          <w:szCs w:val="20"/>
        </w:rPr>
        <w:t xml:space="preserve">Scheme 2 (FDM): </w:t>
      </w:r>
    </w:p>
    <w:p w14:paraId="29101A0D" w14:textId="77777777" w:rsidR="00646595" w:rsidRPr="00D80CEE" w:rsidRDefault="00FF5E9B">
      <w:pPr>
        <w:numPr>
          <w:ilvl w:val="0"/>
          <w:numId w:val="3"/>
        </w:numPr>
        <w:snapToGrid w:val="0"/>
        <w:spacing w:after="0" w:line="240" w:lineRule="auto"/>
        <w:ind w:left="720" w:hanging="360"/>
        <w:contextualSpacing/>
        <w:jc w:val="both"/>
        <w:rPr>
          <w:rFonts w:ascii="Times New Roman" w:eastAsia="宋体" w:hAnsi="Times New Roman"/>
          <w:bCs/>
          <w:i/>
          <w:iCs/>
          <w:sz w:val="20"/>
          <w:szCs w:val="20"/>
        </w:rPr>
      </w:pPr>
      <w:r w:rsidRPr="00D80CEE">
        <w:rPr>
          <w:rFonts w:ascii="Times New Roman" w:eastAsia="宋体" w:hAnsi="Times New Roman"/>
          <w:bCs/>
          <w:i/>
          <w:iCs/>
          <w:sz w:val="20"/>
          <w:szCs w:val="20"/>
        </w:rPr>
        <w:t xml:space="preserve">Scheme 3 (TDM): n </w:t>
      </w:r>
      <w:r w:rsidRPr="00D80CEE">
        <w:rPr>
          <w:rFonts w:ascii="Times New Roman" w:eastAsia="宋体" w:hAnsi="Times New Roman"/>
          <w:bCs/>
          <w:i/>
          <w:iCs/>
          <w:sz w:val="20"/>
          <w:szCs w:val="20"/>
        </w:rPr>
        <w:t>(n&lt;=</w:t>
      </w:r>
      <w:bookmarkStart w:id="6" w:name="_GoBack"/>
      <w:bookmarkEnd w:id="6"/>
      <w:r w:rsidRPr="00D80CEE">
        <w:rPr>
          <w:rFonts w:ascii="Times New Roman" w:eastAsia="宋体" w:hAnsi="Times New Roman"/>
          <w:bCs/>
          <w:i/>
          <w:iCs/>
          <w:sz w:val="20"/>
          <w:szCs w:val="20"/>
        </w:rPr>
        <w:t>Nt1) TCI states within the single slot, with non-overlapped time resource allocation</w:t>
      </w:r>
    </w:p>
    <w:p w14:paraId="69C43618" w14:textId="77777777" w:rsidR="00646595" w:rsidRPr="00D80CEE" w:rsidRDefault="00FF5E9B">
      <w:pPr>
        <w:numPr>
          <w:ilvl w:val="0"/>
          <w:numId w:val="3"/>
        </w:numPr>
        <w:snapToGrid w:val="0"/>
        <w:spacing w:after="0" w:line="240" w:lineRule="auto"/>
        <w:rPr>
          <w:rFonts w:ascii="Times New Roman" w:hAnsi="Times New Roman"/>
          <w:i/>
          <w:iCs/>
          <w:sz w:val="20"/>
          <w:szCs w:val="20"/>
        </w:rPr>
      </w:pPr>
      <w:r w:rsidRPr="00D80CEE">
        <w:rPr>
          <w:rFonts w:ascii="Times New Roman" w:hAnsi="Times New Roman"/>
          <w:bCs/>
          <w:i/>
          <w:iCs/>
          <w:sz w:val="20"/>
          <w:szCs w:val="20"/>
        </w:rPr>
        <w:t xml:space="preserve">Scheme 4 (TDM): n (n&lt;=Nt2) TCI states with K different slots. </w:t>
      </w:r>
    </w:p>
    <w:p w14:paraId="275C1A9A" w14:textId="77777777" w:rsidR="00646595" w:rsidRDefault="00FF5E9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for default QCL assumption with multiple-TRP/panel transmissi</w:t>
      </w:r>
      <w:r>
        <w:rPr>
          <w:rFonts w:ascii="Times New Roman" w:hAnsi="Times New Roman" w:hint="eastAsia"/>
          <w:sz w:val="20"/>
          <w:szCs w:val="20"/>
        </w:rPr>
        <w:t xml:space="preserve">on for both </w:t>
      </w:r>
      <w:proofErr w:type="spellStart"/>
      <w:r>
        <w:rPr>
          <w:rFonts w:ascii="Times New Roman" w:hAnsi="Times New Roman" w:hint="eastAsia"/>
          <w:sz w:val="20"/>
          <w:szCs w:val="20"/>
        </w:rPr>
        <w:t>eMBB</w:t>
      </w:r>
      <w:proofErr w:type="spellEnd"/>
      <w:r>
        <w:rPr>
          <w:rFonts w:ascii="Times New Roman" w:hAnsi="Times New Roman" w:hint="eastAsia"/>
          <w:sz w:val="20"/>
          <w:szCs w:val="20"/>
        </w:rPr>
        <w:t xml:space="preserve"> and URLLC</w:t>
      </w:r>
      <w:r>
        <w:rPr>
          <w:rFonts w:ascii="Times New Roman" w:hAnsi="Times New Roman"/>
          <w:sz w:val="20"/>
          <w:szCs w:val="20"/>
        </w:rPr>
        <w:t xml:space="preserve"> considering both single PDCCH and multiple PDCCH</w:t>
      </w:r>
      <w:r>
        <w:rPr>
          <w:rFonts w:ascii="Times New Roman" w:hAnsi="Times New Roman" w:hint="eastAsia"/>
          <w:sz w:val="20"/>
          <w:szCs w:val="20"/>
        </w:rPr>
        <w:t xml:space="preserve">. We also provide our views </w:t>
      </w:r>
      <w:r>
        <w:rPr>
          <w:rFonts w:ascii="Times New Roman" w:hAnsi="Times New Roman"/>
          <w:sz w:val="20"/>
          <w:szCs w:val="20"/>
        </w:rPr>
        <w:t xml:space="preserve">on beam measurement </w:t>
      </w:r>
      <w:r>
        <w:rPr>
          <w:rFonts w:ascii="Times New Roman" w:hAnsi="Times New Roman" w:hint="eastAsia"/>
          <w:sz w:val="20"/>
          <w:szCs w:val="20"/>
        </w:rPr>
        <w:t xml:space="preserve">BFR </w:t>
      </w:r>
      <w:r>
        <w:rPr>
          <w:rFonts w:ascii="Times New Roman" w:hAnsi="Times New Roman"/>
          <w:sz w:val="20"/>
          <w:szCs w:val="20"/>
        </w:rPr>
        <w:t>for</w:t>
      </w:r>
      <w:r>
        <w:rPr>
          <w:rFonts w:ascii="Times New Roman" w:hAnsi="Times New Roman" w:hint="eastAsia"/>
          <w:sz w:val="20"/>
          <w:szCs w:val="20"/>
        </w:rPr>
        <w:t xml:space="preserve"> multiple-TRP/panel transmission.  </w:t>
      </w:r>
    </w:p>
    <w:p w14:paraId="13753E4B" w14:textId="77777777" w:rsidR="00646595" w:rsidRDefault="00FF5E9B">
      <w:pPr>
        <w:pStyle w:val="Heading1"/>
        <w:snapToGrid w:val="0"/>
        <w:spacing w:beforeLines="50" w:before="180" w:afterLines="50" w:after="180"/>
        <w:ind w:left="431" w:hanging="431"/>
        <w:rPr>
          <w:lang w:val="en-US"/>
        </w:rPr>
      </w:pPr>
      <w:r>
        <w:rPr>
          <w:sz w:val="28"/>
          <w:lang w:val="en-US"/>
        </w:rPr>
        <w:t>Discussion</w:t>
      </w:r>
    </w:p>
    <w:p w14:paraId="13E38D81" w14:textId="77777777" w:rsidR="00646595" w:rsidRDefault="00FF5E9B">
      <w:pPr>
        <w:pStyle w:val="Heading2"/>
        <w:snapToGrid w:val="0"/>
        <w:spacing w:beforeLines="50" w:before="180" w:afterLines="50" w:after="180" w:line="240" w:lineRule="auto"/>
        <w:jc w:val="both"/>
        <w:rPr>
          <w:rFonts w:ascii="Arial" w:hAnsi="Arial" w:cs="Arial"/>
          <w:sz w:val="21"/>
          <w:szCs w:val="21"/>
          <w:lang w:val="en-US"/>
        </w:rPr>
      </w:pPr>
      <w:r>
        <w:rPr>
          <w:rFonts w:ascii="Arial" w:hAnsi="Arial" w:cs="Arial"/>
          <w:sz w:val="21"/>
          <w:szCs w:val="21"/>
          <w:lang w:val="en-US"/>
        </w:rPr>
        <w:t>For default QCL assumption with multiple-TRP transmission</w:t>
      </w:r>
    </w:p>
    <w:p w14:paraId="1BB84191"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Rel-15 for PDSCH t</w:t>
      </w:r>
      <w:r>
        <w:rPr>
          <w:rFonts w:ascii="Times New Roman" w:eastAsia="宋体" w:hAnsi="Times New Roman" w:hint="eastAsia"/>
          <w:sz w:val="20"/>
          <w:szCs w:val="20"/>
        </w:rPr>
        <w:t xml:space="preserve">ransmission, </w:t>
      </w:r>
      <w:r>
        <w:rPr>
          <w:rFonts w:ascii="Times New Roman" w:hAnsi="Times New Roman" w:hint="eastAsia"/>
          <w:sz w:val="20"/>
          <w:szCs w:val="20"/>
        </w:rPr>
        <w:t>default QCL assumptions are used for the following two</w:t>
      </w:r>
      <w:r>
        <w:rPr>
          <w:rFonts w:ascii="Times New Roman" w:eastAsia="宋体" w:hAnsi="Times New Roman" w:hint="eastAsia"/>
          <w:sz w:val="20"/>
          <w:szCs w:val="20"/>
        </w:rPr>
        <w:t xml:space="preserve"> cases: </w:t>
      </w:r>
    </w:p>
    <w:p w14:paraId="06B817E5" w14:textId="77777777" w:rsidR="00646595" w:rsidRDefault="00FF5E9B">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 xml:space="preserve">Case 1: When </w:t>
      </w:r>
      <w:proofErr w:type="spellStart"/>
      <w:r>
        <w:rPr>
          <w:rFonts w:ascii="Times New Roman" w:eastAsia="宋体" w:hAnsi="Times New Roman" w:hint="eastAsia"/>
          <w:sz w:val="20"/>
          <w:szCs w:val="20"/>
        </w:rPr>
        <w:t>tci-PresentInDCI</w:t>
      </w:r>
      <w:proofErr w:type="spellEnd"/>
      <w:r>
        <w:rPr>
          <w:rFonts w:ascii="Times New Roman" w:eastAsia="宋体" w:hAnsi="Times New Roman" w:hint="eastAsia"/>
          <w:sz w:val="20"/>
          <w:szCs w:val="20"/>
        </w:rPr>
        <w:t xml:space="preserve"> is set to 'enabled' or </w:t>
      </w:r>
      <w:proofErr w:type="spellStart"/>
      <w:r>
        <w:rPr>
          <w:rFonts w:ascii="Times New Roman" w:eastAsia="宋体" w:hAnsi="Times New Roman" w:hint="eastAsia"/>
          <w:sz w:val="20"/>
          <w:szCs w:val="20"/>
        </w:rPr>
        <w:t>tci-PresentInDCI</w:t>
      </w:r>
      <w:proofErr w:type="spellEnd"/>
      <w:r>
        <w:rPr>
          <w:rFonts w:ascii="Times New Roman" w:eastAsia="宋体" w:hAnsi="Times New Roman" w:hint="eastAsia"/>
          <w:sz w:val="20"/>
          <w:szCs w:val="20"/>
        </w:rPr>
        <w:t xml:space="preserve"> is not configured in RRC connected mode, if the offset between the reception of the DL DCI and the correspondi</w:t>
      </w:r>
      <w:r>
        <w:rPr>
          <w:rFonts w:ascii="Times New Roman" w:eastAsia="宋体" w:hAnsi="Times New Roman" w:hint="eastAsia"/>
          <w:sz w:val="20"/>
          <w:szCs w:val="20"/>
        </w:rPr>
        <w:t>ng PDSCH is less than the threshold Threshold-Sched-Offset, the UE may assume that the DM-RS ports of PDSCH of a serving cell are quasi co-located with the RS(s) in the TCI state with respect to the QCL parameter(s) used for PDCCH quasi co-location indicat</w:t>
      </w:r>
      <w:r>
        <w:rPr>
          <w:rFonts w:ascii="Times New Roman" w:eastAsia="宋体" w:hAnsi="Times New Roman" w:hint="eastAsia"/>
          <w:sz w:val="20"/>
          <w:szCs w:val="20"/>
        </w:rPr>
        <w:t>ion of the COREST associated with a monitored search space with the lowest CORESET-ID in the latest slot in which one or more CORESETs within the active BWP of the serving cell are monitored by the UE.</w:t>
      </w:r>
    </w:p>
    <w:p w14:paraId="5F7952DA" w14:textId="77777777" w:rsidR="00646595" w:rsidRDefault="00FF5E9B">
      <w:pPr>
        <w:snapToGrid w:val="0"/>
        <w:spacing w:beforeLines="50" w:before="180" w:afterLines="50" w:after="180" w:line="240" w:lineRule="auto"/>
        <w:ind w:left="800" w:hangingChars="400" w:hanging="800"/>
        <w:jc w:val="both"/>
        <w:rPr>
          <w:rFonts w:eastAsia="宋体"/>
          <w:color w:val="000000"/>
        </w:rPr>
      </w:pPr>
      <w:r>
        <w:rPr>
          <w:rFonts w:ascii="Times New Roman" w:eastAsia="宋体" w:hAnsi="Times New Roman" w:hint="eastAsia"/>
          <w:sz w:val="20"/>
          <w:szCs w:val="20"/>
        </w:rPr>
        <w:t xml:space="preserve">Case 2: If </w:t>
      </w:r>
      <w:proofErr w:type="spellStart"/>
      <w:r>
        <w:rPr>
          <w:rFonts w:ascii="Times New Roman" w:eastAsia="宋体" w:hAnsi="Times New Roman" w:hint="eastAsia"/>
          <w:sz w:val="20"/>
          <w:szCs w:val="20"/>
        </w:rPr>
        <w:t>tci-PresentInDCI</w:t>
      </w:r>
      <w:proofErr w:type="spellEnd"/>
      <w:r>
        <w:rPr>
          <w:rFonts w:ascii="Times New Roman" w:eastAsia="宋体" w:hAnsi="Times New Roman" w:hint="eastAsia"/>
          <w:sz w:val="20"/>
          <w:szCs w:val="20"/>
        </w:rPr>
        <w:t xml:space="preserve"> is not configured for the CORESET scheduling the PDSCH or the PDSCH is scheduled by a DCI format 1_0, and the time offset between the reception of the DL DCI and the corresponding PDSCH is equal to or greater than a threshold Th</w:t>
      </w:r>
      <w:r>
        <w:rPr>
          <w:rFonts w:ascii="Times New Roman" w:eastAsia="宋体" w:hAnsi="Times New Roman" w:hint="eastAsia"/>
          <w:sz w:val="20"/>
          <w:szCs w:val="20"/>
        </w:rPr>
        <w:t xml:space="preserve">reshold-Sched-Offset, </w:t>
      </w:r>
      <w:r>
        <w:rPr>
          <w:rFonts w:ascii="Times New Roman" w:eastAsia="宋体" w:hAnsi="Times New Roman" w:hint="eastAsia"/>
          <w:color w:val="000000"/>
          <w:sz w:val="20"/>
          <w:szCs w:val="20"/>
        </w:rPr>
        <w:t>the UE assumes that the TCI state or the QCL 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14:paraId="4C6C6AE8" w14:textId="77777777" w:rsidR="00646595" w:rsidRDefault="00FF5E9B">
      <w:pPr>
        <w:snapToGrid w:val="0"/>
      </w:pPr>
      <w:r>
        <w:rPr>
          <w:rFonts w:ascii="Times New Roman" w:eastAsia="宋体" w:hAnsi="Times New Roman"/>
          <w:sz w:val="20"/>
          <w:szCs w:val="20"/>
        </w:rPr>
        <w:t>If</w:t>
      </w:r>
      <w:r>
        <w:rPr>
          <w:rFonts w:ascii="Times New Roman" w:eastAsia="宋体" w:hAnsi="Times New Roman" w:hint="eastAsia"/>
          <w:sz w:val="20"/>
          <w:szCs w:val="20"/>
        </w:rPr>
        <w:t xml:space="preserve"> only single TRP transmission is supported, one TCI</w:t>
      </w:r>
      <w:r>
        <w:rPr>
          <w:rFonts w:ascii="Times New Roman" w:eastAsia="宋体" w:hAnsi="Times New Roman"/>
          <w:sz w:val="20"/>
          <w:szCs w:val="20"/>
        </w:rPr>
        <w:t xml:space="preserve"> state</w:t>
      </w:r>
      <w:r>
        <w:rPr>
          <w:rFonts w:ascii="Times New Roman" w:eastAsia="宋体" w:hAnsi="Times New Roman" w:hint="eastAsia"/>
          <w:sz w:val="20"/>
          <w:szCs w:val="20"/>
        </w:rPr>
        <w:t xml:space="preserve"> can be used for both PDCCH and </w:t>
      </w:r>
      <w:proofErr w:type="gramStart"/>
      <w:r>
        <w:rPr>
          <w:rFonts w:ascii="Times New Roman" w:eastAsia="宋体" w:hAnsi="Times New Roman" w:hint="eastAsia"/>
          <w:sz w:val="20"/>
          <w:szCs w:val="20"/>
        </w:rPr>
        <w:t>PDSCH..</w:t>
      </w:r>
      <w:proofErr w:type="gramEnd"/>
      <w:r>
        <w:rPr>
          <w:rFonts w:ascii="Times New Roman" w:eastAsia="宋体" w:hAnsi="Times New Roman" w:hint="eastAsia"/>
          <w:sz w:val="20"/>
          <w:szCs w:val="20"/>
        </w:rPr>
        <w:t xml:space="preserve"> However, multi-TRP/panel transmission is supported in Rel-16 wherein multiple TCI states, DMRS groups, PDCCH and PDSCH will be adopted. Then there may be some </w:t>
      </w:r>
      <w:r>
        <w:rPr>
          <w:rFonts w:ascii="Times New Roman" w:eastAsia="宋体" w:hAnsi="Times New Roman" w:hint="eastAsia"/>
          <w:sz w:val="20"/>
          <w:szCs w:val="20"/>
        </w:rPr>
        <w:t xml:space="preserve">issues </w:t>
      </w:r>
      <w:r>
        <w:rPr>
          <w:rFonts w:ascii="Times New Roman" w:eastAsia="宋体" w:hAnsi="Times New Roman"/>
          <w:sz w:val="20"/>
          <w:szCs w:val="20"/>
        </w:rPr>
        <w:t>if we</w:t>
      </w:r>
      <w:r>
        <w:rPr>
          <w:rFonts w:ascii="Times New Roman" w:eastAsia="宋体" w:hAnsi="Times New Roman" w:hint="eastAsia"/>
          <w:sz w:val="20"/>
          <w:szCs w:val="20"/>
        </w:rPr>
        <w:t xml:space="preserve"> completely reuse Rel-15 mechanism. In the following </w:t>
      </w:r>
      <w:r>
        <w:rPr>
          <w:rFonts w:ascii="Times New Roman" w:eastAsia="宋体" w:hAnsi="Times New Roman" w:hint="eastAsia"/>
          <w:sz w:val="20"/>
          <w:szCs w:val="20"/>
        </w:rPr>
        <w:lastRenderedPageBreak/>
        <w:t xml:space="preserve">sections, we </w:t>
      </w:r>
      <w:proofErr w:type="spellStart"/>
      <w:r>
        <w:rPr>
          <w:rFonts w:ascii="Times New Roman" w:eastAsia="宋体" w:hAnsi="Times New Roman" w:hint="eastAsia"/>
          <w:sz w:val="20"/>
          <w:szCs w:val="20"/>
        </w:rPr>
        <w:t>analyse</w:t>
      </w:r>
      <w:proofErr w:type="spellEnd"/>
      <w:r>
        <w:rPr>
          <w:rFonts w:ascii="Times New Roman" w:eastAsia="宋体" w:hAnsi="Times New Roman" w:hint="eastAsia"/>
          <w:sz w:val="20"/>
          <w:szCs w:val="20"/>
        </w:rPr>
        <w:t xml:space="preserve"> the potential issues of the default QCL assumptions in the case of multi-TRP/panel transmission for both </w:t>
      </w:r>
      <w:proofErr w:type="spellStart"/>
      <w:r>
        <w:rPr>
          <w:rFonts w:ascii="Times New Roman" w:eastAsia="宋体" w:hAnsi="Times New Roman" w:hint="eastAsia"/>
          <w:sz w:val="20"/>
          <w:szCs w:val="20"/>
        </w:rPr>
        <w:t>eMBB</w:t>
      </w:r>
      <w:proofErr w:type="spellEnd"/>
      <w:r>
        <w:rPr>
          <w:rFonts w:ascii="Times New Roman" w:eastAsia="宋体" w:hAnsi="Times New Roman" w:hint="eastAsia"/>
          <w:sz w:val="20"/>
          <w:szCs w:val="20"/>
        </w:rPr>
        <w:t xml:space="preserve"> and URLLC. </w:t>
      </w:r>
    </w:p>
    <w:p w14:paraId="764E2DD4" w14:textId="77777777" w:rsidR="00646595" w:rsidRDefault="00FF5E9B">
      <w:pPr>
        <w:pStyle w:val="Heading3"/>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t xml:space="preserve">For single PDCCH design </w:t>
      </w:r>
    </w:p>
    <w:p w14:paraId="30411F45"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single PDCCH design</w:t>
      </w:r>
      <w:r>
        <w:rPr>
          <w:rFonts w:ascii="Times New Roman" w:eastAsia="宋体" w:hAnsi="Times New Roman" w:hint="eastAsia"/>
          <w:sz w:val="20"/>
          <w:szCs w:val="20"/>
        </w:rPr>
        <w:t>, indicati</w:t>
      </w:r>
      <w:r>
        <w:rPr>
          <w:rFonts w:ascii="Times New Roman" w:eastAsia="宋体" w:hAnsi="Times New Roman"/>
          <w:sz w:val="20"/>
          <w:szCs w:val="20"/>
        </w:rPr>
        <w:t>on</w:t>
      </w:r>
      <w:r>
        <w:rPr>
          <w:rFonts w:ascii="Times New Roman" w:eastAsia="宋体" w:hAnsi="Times New Roman" w:hint="eastAsia"/>
          <w:sz w:val="20"/>
          <w:szCs w:val="20"/>
        </w:rPr>
        <w:t xml:space="preserve"> of two TCI states for one PDSCH is straightforward</w:t>
      </w:r>
      <w:r>
        <w:rPr>
          <w:rFonts w:ascii="Times New Roman" w:eastAsia="宋体" w:hAnsi="Times New Roman"/>
          <w:sz w:val="20"/>
          <w:szCs w:val="20"/>
        </w:rPr>
        <w:t xml:space="preserve"> as described in</w:t>
      </w:r>
      <w:r>
        <w:rPr>
          <w:rFonts w:ascii="Times New Roman" w:eastAsia="宋体" w:hAnsi="Times New Roman" w:hint="eastAsia"/>
          <w:sz w:val="20"/>
          <w:szCs w:val="20"/>
        </w:rPr>
        <w:t xml:space="preserve"> </w:t>
      </w:r>
      <w:proofErr w:type="gramStart"/>
      <w:r>
        <w:rPr>
          <w:rFonts w:ascii="Times New Roman" w:eastAsia="宋体" w:hAnsi="Times New Roman" w:hint="eastAsia"/>
          <w:sz w:val="20"/>
          <w:szCs w:val="20"/>
        </w:rPr>
        <w:t>our another</w:t>
      </w:r>
      <w:proofErr w:type="gramEnd"/>
      <w:r>
        <w:rPr>
          <w:rFonts w:ascii="Times New Roman" w:eastAsia="宋体" w:hAnsi="Times New Roman" w:hint="eastAsia"/>
          <w:sz w:val="20"/>
          <w:szCs w:val="20"/>
        </w:rPr>
        <w:t xml:space="preserve"> </w:t>
      </w:r>
      <w:r>
        <w:rPr>
          <w:rFonts w:ascii="Times New Roman" w:eastAsia="宋体" w:hAnsi="Times New Roman"/>
          <w:sz w:val="20"/>
          <w:szCs w:val="20"/>
        </w:rPr>
        <w:t>contribution [</w:t>
      </w:r>
      <w:r>
        <w:rPr>
          <w:rFonts w:ascii="Times New Roman" w:eastAsia="宋体" w:hAnsi="Times New Roman" w:hint="eastAsia"/>
          <w:sz w:val="20"/>
          <w:szCs w:val="20"/>
        </w:rPr>
        <w:t>2</w:t>
      </w:r>
      <w:r>
        <w:rPr>
          <w:rFonts w:ascii="Times New Roman" w:eastAsia="宋体" w:hAnsi="Times New Roman"/>
          <w:sz w:val="20"/>
          <w:szCs w:val="20"/>
        </w:rPr>
        <w:t>]</w:t>
      </w:r>
      <w:r>
        <w:rPr>
          <w:rFonts w:ascii="Times New Roman" w:eastAsia="宋体" w:hAnsi="Times New Roman" w:hint="eastAsia"/>
          <w:sz w:val="20"/>
          <w:szCs w:val="20"/>
        </w:rPr>
        <w:t xml:space="preserve">. Specifically, one TCI state is used for one DMRS group. However, the CORESET (including CORESET with DCI scheduling the PDSCH in above Case 2 and </w:t>
      </w:r>
      <w:r>
        <w:rPr>
          <w:rFonts w:ascii="Times New Roman" w:eastAsia="宋体" w:hAnsi="Times New Roman" w:hint="eastAsia"/>
          <w:sz w:val="20"/>
          <w:szCs w:val="20"/>
        </w:rPr>
        <w:t>CORESET with lowest CORESET-ID in Case 1) is only transmitted by one TRP, i.e. configured with one active TCI state, which is less than the number of DMRS groups of PDSCH as shown in Figure 1. The QCL assumption of DMRS group 1 can still follow the QCL ass</w:t>
      </w:r>
      <w:r>
        <w:rPr>
          <w:rFonts w:ascii="Times New Roman" w:eastAsia="宋体" w:hAnsi="Times New Roman" w:hint="eastAsia"/>
          <w:sz w:val="20"/>
          <w:szCs w:val="20"/>
        </w:rPr>
        <w:t>umption of the CORESET. However, there is no QCL source for the DMRS group 2 of PDSCH.</w:t>
      </w:r>
    </w:p>
    <w:p w14:paraId="4D595A48"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One solution is to allow </w:t>
      </w:r>
      <w:r>
        <w:rPr>
          <w:rFonts w:ascii="Times New Roman" w:eastAsia="宋体" w:hAnsi="Times New Roman"/>
          <w:sz w:val="20"/>
          <w:szCs w:val="20"/>
        </w:rPr>
        <w:t xml:space="preserve">the </w:t>
      </w:r>
      <w:r>
        <w:rPr>
          <w:rFonts w:ascii="Times New Roman" w:eastAsia="宋体" w:hAnsi="Times New Roman" w:hint="eastAsia"/>
          <w:sz w:val="20"/>
          <w:szCs w:val="20"/>
        </w:rPr>
        <w:t>configur</w:t>
      </w:r>
      <w:r>
        <w:rPr>
          <w:rFonts w:ascii="Times New Roman" w:eastAsia="宋体" w:hAnsi="Times New Roman"/>
          <w:sz w:val="20"/>
          <w:szCs w:val="20"/>
        </w:rPr>
        <w:t>ation of</w:t>
      </w:r>
      <w:r>
        <w:rPr>
          <w:rFonts w:ascii="Times New Roman" w:eastAsia="宋体" w:hAnsi="Times New Roman" w:hint="eastAsia"/>
          <w:sz w:val="20"/>
          <w:szCs w:val="20"/>
        </w:rPr>
        <w:t xml:space="preserve"> two TCI states </w:t>
      </w:r>
      <w:r>
        <w:rPr>
          <w:rFonts w:ascii="Times New Roman" w:eastAsia="宋体" w:hAnsi="Times New Roman"/>
          <w:sz w:val="20"/>
          <w:szCs w:val="20"/>
        </w:rPr>
        <w:t>for</w:t>
      </w:r>
      <w:r>
        <w:rPr>
          <w:rFonts w:ascii="Times New Roman" w:eastAsia="宋体" w:hAnsi="Times New Roman" w:hint="eastAsia"/>
          <w:sz w:val="20"/>
          <w:szCs w:val="20"/>
        </w:rPr>
        <w:t xml:space="preserve"> the CORESET. Then the two TCI states are used for the two DMRS groups of PDSCH respectively if the offse</w:t>
      </w:r>
      <w:r>
        <w:rPr>
          <w:rFonts w:ascii="Times New Roman" w:eastAsia="宋体" w:hAnsi="Times New Roman" w:hint="eastAsia"/>
          <w:sz w:val="20"/>
          <w:szCs w:val="20"/>
        </w:rPr>
        <w:t xml:space="preserve">t between the DL DCI and the PDSCH is less than the threshold, i.e. in Case1 or if </w:t>
      </w:r>
      <w:proofErr w:type="spellStart"/>
      <w:r>
        <w:rPr>
          <w:rFonts w:ascii="Times New Roman" w:eastAsia="宋体" w:hAnsi="Times New Roman" w:hint="eastAsia"/>
          <w:sz w:val="20"/>
          <w:szCs w:val="20"/>
        </w:rPr>
        <w:t>tci-PresentInDCI</w:t>
      </w:r>
      <w:proofErr w:type="spellEnd"/>
      <w:r>
        <w:rPr>
          <w:rFonts w:ascii="Times New Roman" w:eastAsia="宋体" w:hAnsi="Times New Roman" w:hint="eastAsia"/>
          <w:sz w:val="20"/>
          <w:szCs w:val="20"/>
        </w:rPr>
        <w:t xml:space="preserve"> is not configured or the PDSCH is scheduled by a DCI format 1_</w:t>
      </w:r>
      <w:proofErr w:type="gramStart"/>
      <w:r>
        <w:rPr>
          <w:rFonts w:ascii="Times New Roman" w:eastAsia="宋体" w:hAnsi="Times New Roman" w:hint="eastAsia"/>
          <w:sz w:val="20"/>
          <w:szCs w:val="20"/>
        </w:rPr>
        <w:t>0 ,</w:t>
      </w:r>
      <w:proofErr w:type="gramEnd"/>
      <w:r>
        <w:rPr>
          <w:rFonts w:ascii="Times New Roman" w:eastAsia="宋体" w:hAnsi="Times New Roman" w:hint="eastAsia"/>
          <w:sz w:val="20"/>
          <w:szCs w:val="20"/>
        </w:rPr>
        <w:t xml:space="preserve"> i.e. in Case 2. Based on this solution, only the first TCI state configured for the CORESE</w:t>
      </w:r>
      <w:r>
        <w:rPr>
          <w:rFonts w:ascii="Times New Roman" w:eastAsia="宋体" w:hAnsi="Times New Roman" w:hint="eastAsia"/>
          <w:sz w:val="20"/>
          <w:szCs w:val="20"/>
        </w:rPr>
        <w:t xml:space="preserve">T is eventually used for the reception of the DCI since only one DMRS port is supported for PDCCH. In other words, the second TCI state configured for the CORESET not used for the PDCCH reception. </w:t>
      </w:r>
    </w:p>
    <w:p w14:paraId="77E9492E" w14:textId="77777777" w:rsidR="00646595" w:rsidRDefault="00FF5E9B">
      <w:pPr>
        <w:snapToGrid w:val="0"/>
        <w:spacing w:beforeLines="50" w:before="180" w:afterLines="50" w:after="180" w:line="240" w:lineRule="auto"/>
        <w:ind w:left="880" w:hangingChars="400" w:hanging="880"/>
        <w:jc w:val="center"/>
      </w:pPr>
      <w:r>
        <w:object w:dxaOrig="5700" w:dyaOrig="2810" w14:anchorId="1FF9E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40.25pt" o:ole="">
            <v:imagedata r:id="rId9" o:title=""/>
          </v:shape>
          <o:OLEObject Type="Embed" ProgID="Visio.Drawing.11" ShapeID="_x0000_i1025" DrawAspect="Content" ObjectID="_1611833251" r:id="rId10"/>
        </w:object>
      </w:r>
    </w:p>
    <w:p w14:paraId="4BA95F6C" w14:textId="77777777" w:rsidR="00646595" w:rsidRDefault="00FF5E9B">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Figure1 CORESET with one TRP </w:t>
      </w:r>
      <w:r>
        <w:rPr>
          <w:rFonts w:ascii="Times New Roman" w:eastAsia="宋体" w:hAnsi="Times New Roman" w:hint="eastAsia"/>
          <w:sz w:val="20"/>
          <w:szCs w:val="20"/>
        </w:rPr>
        <w:t>transmission and the PDSCH with two TRPs transmission</w:t>
      </w:r>
    </w:p>
    <w:p w14:paraId="3BBE99DC"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Another solution is to allow configur</w:t>
      </w:r>
      <w:r>
        <w:rPr>
          <w:rFonts w:ascii="Times New Roman" w:eastAsia="宋体" w:hAnsi="Times New Roman"/>
          <w:sz w:val="20"/>
          <w:szCs w:val="20"/>
        </w:rPr>
        <w:t>ation</w:t>
      </w:r>
      <w:r>
        <w:rPr>
          <w:rFonts w:ascii="Times New Roman" w:eastAsia="宋体" w:hAnsi="Times New Roman" w:hint="eastAsia"/>
          <w:sz w:val="20"/>
          <w:szCs w:val="20"/>
        </w:rPr>
        <w:t xml:space="preserve"> </w:t>
      </w:r>
      <w:r>
        <w:rPr>
          <w:rFonts w:ascii="Times New Roman" w:eastAsia="宋体" w:hAnsi="Times New Roman"/>
          <w:sz w:val="20"/>
          <w:szCs w:val="20"/>
        </w:rPr>
        <w:t xml:space="preserve">of </w:t>
      </w:r>
      <w:r>
        <w:rPr>
          <w:rFonts w:ascii="Times New Roman" w:eastAsia="宋体" w:hAnsi="Times New Roman" w:hint="eastAsia"/>
          <w:sz w:val="20"/>
          <w:szCs w:val="20"/>
        </w:rPr>
        <w:t>two TCI states for the reception of the PDCCH while it also will improve the reliability of PDCCH as shown in Figure 2.One DCI in the CORESET are transmitte</w:t>
      </w:r>
      <w:r>
        <w:rPr>
          <w:rFonts w:ascii="Times New Roman" w:eastAsia="宋体" w:hAnsi="Times New Roman" w:hint="eastAsia"/>
          <w:sz w:val="20"/>
          <w:szCs w:val="20"/>
        </w:rPr>
        <w:t xml:space="preserve">d by two TRPs applying two TCI states and two DMRS groups of PDSCH are also transmitted by the two TRPs. The corresponding relationship between two QCL-RS sets configured for the CORESET and the two DMRS groups of PDSCH should be established. </w:t>
      </w:r>
    </w:p>
    <w:p w14:paraId="1A216EC8" w14:textId="77777777" w:rsidR="00646595" w:rsidRDefault="00FF5E9B">
      <w:pPr>
        <w:snapToGrid w:val="0"/>
        <w:spacing w:beforeLines="50" w:before="180" w:afterLines="50" w:after="180" w:line="240" w:lineRule="auto"/>
        <w:jc w:val="center"/>
      </w:pPr>
      <w:r>
        <w:rPr>
          <w:noProof/>
          <w:lang w:val="en-GB"/>
        </w:rPr>
        <w:drawing>
          <wp:inline distT="0" distB="0" distL="0" distR="0" wp14:anchorId="50AA2483" wp14:editId="2A478384">
            <wp:extent cx="2590800" cy="17843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90800" cy="1784350"/>
                    </a:xfrm>
                    <a:prstGeom prst="rect">
                      <a:avLst/>
                    </a:prstGeom>
                    <a:noFill/>
                    <a:ln>
                      <a:noFill/>
                    </a:ln>
                  </pic:spPr>
                </pic:pic>
              </a:graphicData>
            </a:graphic>
          </wp:inline>
        </w:drawing>
      </w:r>
    </w:p>
    <w:p w14:paraId="0FA3AAAD" w14:textId="77777777" w:rsidR="00646595" w:rsidRDefault="00FF5E9B">
      <w:pPr>
        <w:snapToGrid w:val="0"/>
        <w:spacing w:beforeLines="50" w:before="180" w:afterLines="50" w:after="180" w:line="240" w:lineRule="auto"/>
        <w:ind w:firstLineChars="700" w:firstLine="1400"/>
        <w:jc w:val="both"/>
        <w:rPr>
          <w:rFonts w:ascii="Times New Roman" w:eastAsia="宋体" w:hAnsi="Times New Roman"/>
          <w:sz w:val="20"/>
          <w:szCs w:val="20"/>
        </w:rPr>
      </w:pPr>
      <w:r>
        <w:rPr>
          <w:rFonts w:ascii="Times New Roman" w:eastAsia="宋体" w:hAnsi="Times New Roman" w:hint="eastAsia"/>
          <w:sz w:val="20"/>
          <w:szCs w:val="20"/>
        </w:rPr>
        <w:t>Figure 2 T</w:t>
      </w:r>
      <w:r>
        <w:rPr>
          <w:rFonts w:ascii="Times New Roman" w:eastAsia="宋体" w:hAnsi="Times New Roman" w:hint="eastAsia"/>
          <w:sz w:val="20"/>
          <w:szCs w:val="20"/>
        </w:rPr>
        <w:t>wo TCI states for CORESET and PDSCH with two DMRS groups</w:t>
      </w:r>
    </w:p>
    <w:p w14:paraId="14D77549"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However, in the case when one DCI in the CORESET are transmitted by two TRPs, i.e. configured with two TCI states and there is only one DMRS group of PDSCH transmitted by single TRP as shown in Figur</w:t>
      </w:r>
      <w:r>
        <w:rPr>
          <w:rFonts w:ascii="Times New Roman" w:eastAsia="宋体" w:hAnsi="Times New Roman" w:hint="eastAsia"/>
          <w:sz w:val="20"/>
          <w:szCs w:val="20"/>
        </w:rPr>
        <w:t>e 3, it should be clarified which TCI state configured for the CORESET is the default QCL assumption of the PDSCH.</w:t>
      </w:r>
    </w:p>
    <w:p w14:paraId="28BB1B1B" w14:textId="77777777" w:rsidR="00646595" w:rsidRDefault="00FF5E9B">
      <w:pPr>
        <w:snapToGrid w:val="0"/>
        <w:spacing w:beforeLines="50" w:before="180" w:afterLines="50" w:after="180" w:line="240" w:lineRule="auto"/>
        <w:ind w:left="1200" w:hangingChars="600" w:hanging="1200"/>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The default QCL assumption should be enhanced in the single PDCCH design considering in the case when the number of TCI states for CORESET is mismatched with the number of DMRS port groups of scheduling PDSCH or the number of TCI states of the CORESET is l</w:t>
      </w:r>
      <w:r>
        <w:rPr>
          <w:rFonts w:ascii="Times New Roman" w:eastAsia="宋体" w:hAnsi="Times New Roman" w:hint="eastAsia"/>
          <w:i/>
          <w:iCs/>
          <w:sz w:val="20"/>
          <w:szCs w:val="20"/>
        </w:rPr>
        <w:t xml:space="preserve">arger than one. </w:t>
      </w:r>
    </w:p>
    <w:p w14:paraId="2D0BAD62"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Support</w:t>
      </w:r>
      <w:r>
        <w:rPr>
          <w:rFonts w:ascii="Times New Roman" w:eastAsia="宋体" w:hAnsi="Times New Roman" w:hint="eastAsia"/>
          <w:i/>
          <w:iCs/>
          <w:sz w:val="20"/>
          <w:szCs w:val="20"/>
        </w:rPr>
        <w:t xml:space="preserve"> configur</w:t>
      </w:r>
      <w:r>
        <w:rPr>
          <w:rFonts w:ascii="Times New Roman" w:eastAsia="宋体" w:hAnsi="Times New Roman"/>
          <w:i/>
          <w:iCs/>
          <w:sz w:val="20"/>
          <w:szCs w:val="20"/>
        </w:rPr>
        <w:t>ation of</w:t>
      </w:r>
      <w:r>
        <w:rPr>
          <w:rFonts w:ascii="Times New Roman" w:eastAsia="宋体" w:hAnsi="Times New Roman" w:hint="eastAsia"/>
          <w:i/>
          <w:iCs/>
          <w:sz w:val="20"/>
          <w:szCs w:val="20"/>
        </w:rPr>
        <w:t xml:space="preserve"> two TCI states for one CORESET</w:t>
      </w:r>
      <w:r>
        <w:rPr>
          <w:rFonts w:ascii="Times New Roman" w:eastAsia="宋体" w:hAnsi="Times New Roman"/>
          <w:i/>
          <w:iCs/>
          <w:sz w:val="20"/>
          <w:szCs w:val="20"/>
        </w:rPr>
        <w:t xml:space="preserve"> to support default QCL assumption for multi-TRP</w:t>
      </w:r>
      <w:r>
        <w:rPr>
          <w:rFonts w:ascii="Times New Roman" w:eastAsia="宋体" w:hAnsi="Times New Roman" w:hint="eastAsia"/>
          <w:i/>
          <w:iCs/>
          <w:sz w:val="20"/>
          <w:szCs w:val="20"/>
        </w:rPr>
        <w:t>.</w:t>
      </w:r>
    </w:p>
    <w:p w14:paraId="34074286" w14:textId="77777777" w:rsidR="00646595" w:rsidRDefault="00FF5E9B">
      <w:pPr>
        <w:snapToGrid w:val="0"/>
        <w:spacing w:beforeLines="50" w:before="180" w:afterLines="50" w:after="180" w:line="240" w:lineRule="auto"/>
        <w:jc w:val="center"/>
      </w:pPr>
      <w:r>
        <w:rPr>
          <w:noProof/>
          <w:lang w:val="en-GB"/>
        </w:rPr>
        <w:drawing>
          <wp:inline distT="0" distB="0" distL="0" distR="0" wp14:anchorId="148D3533" wp14:editId="083E9BA1">
            <wp:extent cx="2870200" cy="17843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70200" cy="1784350"/>
                    </a:xfrm>
                    <a:prstGeom prst="rect">
                      <a:avLst/>
                    </a:prstGeom>
                    <a:noFill/>
                    <a:ln>
                      <a:noFill/>
                    </a:ln>
                  </pic:spPr>
                </pic:pic>
              </a:graphicData>
            </a:graphic>
          </wp:inline>
        </w:drawing>
      </w:r>
      <w:r>
        <w:rPr>
          <w:rFonts w:hint="eastAsia"/>
        </w:rPr>
        <w:t xml:space="preserve">                                                   </w:t>
      </w:r>
      <w:r>
        <w:rPr>
          <w:rFonts w:ascii="Times New Roman" w:eastAsia="宋体" w:hAnsi="Times New Roman" w:hint="eastAsia"/>
          <w:sz w:val="20"/>
          <w:szCs w:val="20"/>
        </w:rPr>
        <w:t xml:space="preserve">  </w:t>
      </w:r>
    </w:p>
    <w:p w14:paraId="158FD1D1" w14:textId="77777777" w:rsidR="00646595" w:rsidRDefault="00FF5E9B">
      <w:pPr>
        <w:snapToGrid w:val="0"/>
        <w:spacing w:beforeLines="50" w:before="180" w:afterLines="50" w:after="180" w:line="240" w:lineRule="auto"/>
        <w:ind w:leftChars="360" w:left="792" w:firstLineChars="400" w:firstLine="800"/>
        <w:jc w:val="both"/>
        <w:rPr>
          <w:rFonts w:ascii="Times New Roman" w:eastAsia="宋体" w:hAnsi="Times New Roman"/>
          <w:i/>
          <w:iCs/>
          <w:sz w:val="20"/>
          <w:szCs w:val="20"/>
        </w:rPr>
      </w:pPr>
      <w:r>
        <w:rPr>
          <w:rFonts w:ascii="Times New Roman" w:eastAsia="宋体" w:hAnsi="Times New Roman" w:hint="eastAsia"/>
          <w:sz w:val="20"/>
          <w:szCs w:val="20"/>
        </w:rPr>
        <w:t>Figure3 One DCI with two TCI states and PDSCH with one DMRS group</w:t>
      </w:r>
      <w:r>
        <w:rPr>
          <w:rFonts w:ascii="Times New Roman" w:eastAsia="宋体" w:hAnsi="Times New Roman" w:hint="eastAsia"/>
          <w:i/>
          <w:iCs/>
          <w:sz w:val="20"/>
          <w:szCs w:val="20"/>
        </w:rPr>
        <w:t>.</w:t>
      </w:r>
      <w:r>
        <w:rPr>
          <w:rFonts w:ascii="Times New Roman" w:eastAsia="宋体" w:hAnsi="Times New Roman"/>
          <w:i/>
          <w:iCs/>
          <w:sz w:val="20"/>
          <w:szCs w:val="20"/>
        </w:rPr>
        <w:t xml:space="preserve"> </w:t>
      </w:r>
      <w:r>
        <w:rPr>
          <w:rFonts w:ascii="Times New Roman" w:eastAsia="宋体" w:hAnsi="Times New Roman" w:hint="eastAsia"/>
          <w:i/>
          <w:iCs/>
          <w:sz w:val="20"/>
          <w:szCs w:val="20"/>
        </w:rPr>
        <w:t xml:space="preserve"> </w:t>
      </w:r>
    </w:p>
    <w:p w14:paraId="49710F2C" w14:textId="77777777" w:rsidR="00646595" w:rsidRDefault="00FF5E9B">
      <w:pPr>
        <w:pStyle w:val="Heading3"/>
        <w:snapToGrid w:val="0"/>
        <w:spacing w:beforeLines="50" w:before="180" w:afterLines="50" w:after="180" w:line="240" w:lineRule="auto"/>
        <w:jc w:val="both"/>
        <w:rPr>
          <w:rFonts w:ascii="Arial" w:hAnsi="Arial" w:cs="Arial"/>
          <w:sz w:val="21"/>
          <w:szCs w:val="21"/>
          <w:lang w:val="en-US"/>
        </w:rPr>
      </w:pPr>
      <w:r>
        <w:rPr>
          <w:rFonts w:ascii="Arial" w:hAnsi="Arial" w:cs="Arial"/>
          <w:sz w:val="21"/>
          <w:szCs w:val="21"/>
          <w:lang w:val="en-US"/>
        </w:rPr>
        <w:t>For multiple PDCCHs design</w:t>
      </w:r>
    </w:p>
    <w:p w14:paraId="115FF96F"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multiple PDCCHs design, there is no ideal backhaul between two coordinated TRPs in typical multiple PDCCH design scenario. In this case, two independent PDCCHs are supported and each PDCCH schedules one PDSCH. The following</w:t>
      </w:r>
      <w:r>
        <w:rPr>
          <w:rFonts w:ascii="Times New Roman" w:eastAsia="宋体" w:hAnsi="Times New Roman" w:hint="eastAsia"/>
          <w:sz w:val="20"/>
          <w:szCs w:val="20"/>
        </w:rPr>
        <w:t xml:space="preserve"> scenario as shown in Figure 4 may have some issues on the default QCL assumption wherein each DCI and corresponding PDSCH are transmitted from the same TRP. This kind of transmission is the typical scenario for the multiple PDCCH design. The QCL assumptio</w:t>
      </w:r>
      <w:r>
        <w:rPr>
          <w:rFonts w:ascii="Times New Roman" w:eastAsia="宋体" w:hAnsi="Times New Roman" w:hint="eastAsia"/>
          <w:sz w:val="20"/>
          <w:szCs w:val="20"/>
        </w:rPr>
        <w:t>ns of the first and the second PDSCH can follow the TCI of respective DCI in above Case 2, i.e when tci-PresentInDCI is not configured or the PDSCH is scheduled by a DCI format 1_0. However, for the Case 1, i.e. when the offset between the DL DCI and the P</w:t>
      </w:r>
      <w:r>
        <w:rPr>
          <w:rFonts w:ascii="Times New Roman" w:eastAsia="宋体" w:hAnsi="Times New Roman" w:hint="eastAsia"/>
          <w:sz w:val="20"/>
          <w:szCs w:val="20"/>
        </w:rPr>
        <w:t>DSCH is less than the threshold, only one of the two PDSCHs can take the lowest CORESET ID as the source of the default QCL assumption since the lowest CORESET ID is only transmitted from one TRP. It is obvious that the PDSCH and the CORESET with lowest CO</w:t>
      </w:r>
      <w:r>
        <w:rPr>
          <w:rFonts w:ascii="Times New Roman" w:eastAsia="宋体" w:hAnsi="Times New Roman" w:hint="eastAsia"/>
          <w:sz w:val="20"/>
          <w:szCs w:val="20"/>
        </w:rPr>
        <w:t xml:space="preserve">RESET-ID should be from the same TRP. Therefore, two CORESET groups should be set and each group is corresponding to one TRP respectively. The QCL assumption of each PDSCH should be inferred from the lowest CORESET-ID within corresponding CORESET group. </w:t>
      </w:r>
    </w:p>
    <w:p w14:paraId="29F0C0C3" w14:textId="77777777" w:rsidR="00646595" w:rsidRDefault="00FF5E9B">
      <w:pPr>
        <w:snapToGrid w:val="0"/>
        <w:spacing w:beforeLines="50" w:before="180" w:afterLines="50" w:after="180" w:line="240" w:lineRule="auto"/>
        <w:jc w:val="center"/>
      </w:pPr>
      <w:r>
        <w:object w:dxaOrig="4740" w:dyaOrig="3170" w14:anchorId="64E52882">
          <v:shape id="_x0000_i1026" type="#_x0000_t75" style="width:237.3pt;height:158.4pt" o:ole="">
            <v:imagedata r:id="rId13" o:title=""/>
          </v:shape>
          <o:OLEObject Type="Embed" ProgID="Visio.Drawing.11" ShapeID="_x0000_i1026" DrawAspect="Content" ObjectID="_1611833252" r:id="rId14"/>
        </w:object>
      </w:r>
    </w:p>
    <w:p w14:paraId="141FBD7A" w14:textId="77777777" w:rsidR="00646595" w:rsidRDefault="00FF5E9B">
      <w:pPr>
        <w:snapToGrid w:val="0"/>
        <w:spacing w:beforeLines="50" w:before="180" w:afterLines="50" w:after="180" w:line="240" w:lineRule="auto"/>
        <w:ind w:firstLineChars="1300" w:firstLine="2600"/>
        <w:jc w:val="both"/>
        <w:rPr>
          <w:rFonts w:ascii="Times New Roman" w:eastAsia="宋体" w:hAnsi="Times New Roman"/>
          <w:sz w:val="20"/>
          <w:szCs w:val="20"/>
        </w:rPr>
      </w:pPr>
      <w:r>
        <w:rPr>
          <w:rFonts w:ascii="Times New Roman" w:eastAsia="宋体" w:hAnsi="Times New Roman" w:hint="eastAsia"/>
          <w:sz w:val="20"/>
          <w:szCs w:val="20"/>
        </w:rPr>
        <w:t>Figure 4 Different DCI transmitted by different TRP</w:t>
      </w:r>
    </w:p>
    <w:p w14:paraId="20B4B37C" w14:textId="77777777" w:rsidR="00646595" w:rsidRDefault="00FF5E9B">
      <w:pPr>
        <w:snapToGrid w:val="0"/>
        <w:spacing w:beforeLines="50" w:before="180" w:afterLines="50" w:after="180" w:line="240" w:lineRule="auto"/>
        <w:ind w:left="1000" w:hangingChars="500" w:hanging="1000"/>
        <w:rPr>
          <w:rFonts w:ascii="Times New Roman" w:eastAsia="宋体" w:hAnsi="Times New Roman"/>
          <w:sz w:val="20"/>
          <w:szCs w:val="20"/>
        </w:rPr>
      </w:pPr>
      <w:r>
        <w:rPr>
          <w:rFonts w:ascii="Times New Roman" w:eastAsia="宋体" w:hAnsi="Times New Roman" w:hint="eastAsia"/>
          <w:b/>
          <w:bCs/>
          <w:i/>
          <w:iCs/>
          <w:sz w:val="20"/>
          <w:szCs w:val="20"/>
        </w:rPr>
        <w:lastRenderedPageBreak/>
        <w:t xml:space="preserve">Proposal 3: </w:t>
      </w:r>
      <w:r>
        <w:rPr>
          <w:rFonts w:ascii="Times New Roman" w:eastAsia="宋体" w:hAnsi="Times New Roman" w:hint="eastAsia"/>
          <w:i/>
          <w:iCs/>
          <w:sz w:val="20"/>
          <w:szCs w:val="20"/>
        </w:rPr>
        <w:t>The configured CORESET</w:t>
      </w:r>
      <w:r>
        <w:rPr>
          <w:rFonts w:ascii="Times New Roman" w:eastAsia="宋体" w:hAnsi="Times New Roman"/>
          <w:i/>
          <w:iCs/>
          <w:sz w:val="20"/>
          <w:szCs w:val="20"/>
        </w:rPr>
        <w:t>s</w:t>
      </w:r>
      <w:r>
        <w:rPr>
          <w:rFonts w:ascii="Times New Roman" w:eastAsia="宋体" w:hAnsi="Times New Roman" w:hint="eastAsia"/>
          <w:i/>
          <w:iCs/>
          <w:sz w:val="20"/>
          <w:szCs w:val="20"/>
        </w:rPr>
        <w:t xml:space="preserve"> should be divided to two CORESET groups, and the association between the two CORESET groups and the two PDSCH should be set up</w:t>
      </w:r>
      <w:r>
        <w:rPr>
          <w:rFonts w:ascii="Times New Roman" w:eastAsia="宋体" w:hAnsi="Times New Roman" w:hint="eastAsia"/>
          <w:sz w:val="20"/>
          <w:szCs w:val="20"/>
        </w:rPr>
        <w:t>.</w:t>
      </w:r>
    </w:p>
    <w:p w14:paraId="4F565E6F" w14:textId="77777777" w:rsidR="00646595" w:rsidRDefault="00FF5E9B">
      <w:pPr>
        <w:snapToGrid w:val="0"/>
        <w:spacing w:beforeLines="50" w:before="180" w:afterLines="50" w:after="180" w:line="240" w:lineRule="auto"/>
        <w:ind w:left="1000" w:hangingChars="500" w:hanging="1000"/>
        <w:rPr>
          <w:rFonts w:ascii="Times New Roman" w:eastAsia="宋体" w:hAnsi="Times New Roman"/>
          <w:i/>
          <w:iCs/>
          <w:sz w:val="20"/>
          <w:szCs w:val="20"/>
          <w:highlight w:val="yellow"/>
        </w:rPr>
      </w:pPr>
      <w:r>
        <w:rPr>
          <w:rFonts w:ascii="Times New Roman" w:eastAsia="宋体" w:hAnsi="Times New Roman" w:hint="eastAsia"/>
          <w:b/>
          <w:bCs/>
          <w:i/>
          <w:iCs/>
          <w:sz w:val="20"/>
          <w:szCs w:val="20"/>
        </w:rPr>
        <w:tab/>
        <w:t xml:space="preserve">- </w:t>
      </w:r>
      <w:r>
        <w:rPr>
          <w:rFonts w:ascii="Times New Roman" w:eastAsia="宋体" w:hAnsi="Times New Roman" w:hint="eastAsia"/>
          <w:i/>
          <w:iCs/>
          <w:sz w:val="20"/>
          <w:szCs w:val="20"/>
        </w:rPr>
        <w:t xml:space="preserve">The QCL </w:t>
      </w:r>
      <w:r>
        <w:rPr>
          <w:rFonts w:ascii="Times New Roman" w:eastAsia="宋体" w:hAnsi="Times New Roman" w:hint="eastAsia"/>
          <w:i/>
          <w:iCs/>
          <w:sz w:val="20"/>
          <w:szCs w:val="20"/>
        </w:rPr>
        <w:t>assumption of each PDSCH should be inferred from the lowest CORESET-ID within the CORESET group when the offset between the DL DCI and the PDSCH is less than the threshold</w:t>
      </w:r>
      <w:r>
        <w:rPr>
          <w:rFonts w:ascii="Times New Roman" w:eastAsia="宋体" w:hAnsi="Times New Roman" w:hint="eastAsia"/>
          <w:sz w:val="20"/>
          <w:szCs w:val="20"/>
        </w:rPr>
        <w:t xml:space="preserve">. </w:t>
      </w:r>
    </w:p>
    <w:p w14:paraId="3F719F9E" w14:textId="77777777" w:rsidR="00646595" w:rsidRDefault="00FF5E9B">
      <w:pPr>
        <w:pStyle w:val="Heading3"/>
        <w:snapToGrid w:val="0"/>
        <w:spacing w:line="240" w:lineRule="auto"/>
        <w:rPr>
          <w:rFonts w:ascii="Arial" w:hAnsi="Arial" w:cs="Arial"/>
          <w:sz w:val="21"/>
          <w:szCs w:val="21"/>
          <w:lang w:val="en-US"/>
        </w:rPr>
      </w:pPr>
      <w:r>
        <w:rPr>
          <w:rFonts w:ascii="Arial" w:hAnsi="Arial" w:cs="Arial"/>
          <w:sz w:val="21"/>
          <w:szCs w:val="21"/>
          <w:lang w:val="en-US"/>
        </w:rPr>
        <w:t xml:space="preserve">For URLLC </w:t>
      </w:r>
    </w:p>
    <w:p w14:paraId="05053B55" w14:textId="77777777" w:rsidR="00646595" w:rsidRDefault="00FF5E9B">
      <w:pPr>
        <w:snapToGrid w:val="0"/>
        <w:rPr>
          <w:rFonts w:ascii="Times New Roman" w:eastAsia="宋体" w:hAnsi="Times New Roman"/>
          <w:sz w:val="20"/>
          <w:szCs w:val="20"/>
        </w:rPr>
      </w:pPr>
      <w:r>
        <w:rPr>
          <w:rFonts w:ascii="Times New Roman" w:eastAsia="宋体" w:hAnsi="Times New Roman" w:hint="eastAsia"/>
          <w:sz w:val="20"/>
          <w:szCs w:val="20"/>
        </w:rPr>
        <w:t xml:space="preserve">As low latency is the main requirement for URLLC traffic, the use case of offset between the DCI and the corresponding PDSCH less than the threshold is very important. Consequently, more attention </w:t>
      </w:r>
      <w:r>
        <w:rPr>
          <w:rFonts w:ascii="Times New Roman" w:eastAsia="宋体" w:hAnsi="Times New Roman"/>
          <w:sz w:val="20"/>
          <w:szCs w:val="20"/>
        </w:rPr>
        <w:t xml:space="preserve">should be paid on </w:t>
      </w:r>
      <w:r>
        <w:rPr>
          <w:rFonts w:ascii="Times New Roman" w:eastAsia="宋体" w:hAnsi="Times New Roman" w:hint="eastAsia"/>
          <w:sz w:val="20"/>
          <w:szCs w:val="20"/>
        </w:rPr>
        <w:t>the default QCL assumptions to URLLC traf</w:t>
      </w:r>
      <w:r>
        <w:rPr>
          <w:rFonts w:ascii="Times New Roman" w:eastAsia="宋体" w:hAnsi="Times New Roman" w:hint="eastAsia"/>
          <w:sz w:val="20"/>
          <w:szCs w:val="20"/>
        </w:rPr>
        <w:t xml:space="preserve">fic. </w:t>
      </w:r>
    </w:p>
    <w:p w14:paraId="34C1D192" w14:textId="77777777" w:rsidR="00646595" w:rsidRDefault="00FF5E9B">
      <w:pPr>
        <w:snapToGrid w:val="0"/>
        <w:rPr>
          <w:rFonts w:ascii="Times New Roman" w:eastAsia="宋体" w:hAnsi="Times New Roman"/>
          <w:sz w:val="20"/>
          <w:szCs w:val="20"/>
        </w:rPr>
      </w:pPr>
      <w:r>
        <w:rPr>
          <w:rFonts w:ascii="Times New Roman" w:eastAsia="宋体" w:hAnsi="Times New Roman" w:hint="eastAsia"/>
          <w:sz w:val="20"/>
          <w:szCs w:val="20"/>
        </w:rPr>
        <w:t>In addition, a small scheduling time unit, e.g. 2 symbol scheduling is usually used for URLLC traffic in order to get low latency. To get the higher reliability, repetition can be supported among these multiple PDSCHs with the small unit in one slot.</w:t>
      </w:r>
      <w:r>
        <w:rPr>
          <w:rFonts w:ascii="Times New Roman" w:eastAsia="宋体" w:hAnsi="Times New Roman" w:hint="eastAsia"/>
          <w:sz w:val="20"/>
          <w:szCs w:val="20"/>
        </w:rPr>
        <w:t xml:space="preserve"> Moreover, the reliability of PDSCH of URLLC can be further enhanced using different TCI to those PDSCHs where the TB is repeated across those small scheduling time units as shown in Figure 7. Based on multiple TCI, beam diversity gain can be achieved and </w:t>
      </w:r>
      <w:r>
        <w:rPr>
          <w:rFonts w:ascii="Times New Roman" w:eastAsia="宋体" w:hAnsi="Times New Roman" w:hint="eastAsia"/>
          <w:sz w:val="20"/>
          <w:szCs w:val="20"/>
        </w:rPr>
        <w:t>it is very useful in channel blockage scenarios.</w:t>
      </w:r>
    </w:p>
    <w:p w14:paraId="0A918F88" w14:textId="77777777" w:rsidR="00646595" w:rsidRDefault="00FF5E9B">
      <w:pPr>
        <w:snapToGrid w:val="0"/>
        <w:jc w:val="center"/>
      </w:pPr>
      <w:r>
        <w:rPr>
          <w:noProof/>
          <w:lang w:val="en-GB"/>
        </w:rPr>
        <w:drawing>
          <wp:inline distT="0" distB="0" distL="114300" distR="114300" wp14:anchorId="464FE5D5" wp14:editId="0230F7B8">
            <wp:extent cx="4653915" cy="2240915"/>
            <wp:effectExtent l="0" t="0" r="13335" b="698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5"/>
                    <a:stretch>
                      <a:fillRect/>
                    </a:stretch>
                  </pic:blipFill>
                  <pic:spPr>
                    <a:xfrm>
                      <a:off x="0" y="0"/>
                      <a:ext cx="4653915" cy="2240915"/>
                    </a:xfrm>
                    <a:prstGeom prst="rect">
                      <a:avLst/>
                    </a:prstGeom>
                    <a:noFill/>
                    <a:ln w="9525">
                      <a:noFill/>
                    </a:ln>
                  </pic:spPr>
                </pic:pic>
              </a:graphicData>
            </a:graphic>
          </wp:inline>
        </w:drawing>
      </w:r>
    </w:p>
    <w:p w14:paraId="0D3BFE72" w14:textId="77777777" w:rsidR="00646595" w:rsidRDefault="00FF5E9B">
      <w:pPr>
        <w:snapToGrid w:val="0"/>
        <w:jc w:val="center"/>
        <w:rPr>
          <w:rFonts w:ascii="Times New Roman" w:eastAsia="宋体" w:hAnsi="Times New Roman"/>
          <w:sz w:val="20"/>
          <w:szCs w:val="20"/>
        </w:rPr>
      </w:pPr>
      <w:r>
        <w:rPr>
          <w:rFonts w:ascii="Times New Roman" w:eastAsia="宋体" w:hAnsi="Times New Roman" w:hint="eastAsia"/>
          <w:sz w:val="20"/>
          <w:szCs w:val="20"/>
        </w:rPr>
        <w:t>Figure 7 Multiple PDSCH repetition with different TCI</w:t>
      </w:r>
    </w:p>
    <w:p w14:paraId="519D0B11" w14:textId="77777777" w:rsidR="00646595" w:rsidRDefault="00FF5E9B">
      <w:pPr>
        <w:snapToGrid w:val="0"/>
        <w:jc w:val="both"/>
        <w:rPr>
          <w:rFonts w:ascii="Times New Roman" w:eastAsia="宋体" w:hAnsi="Times New Roman"/>
          <w:sz w:val="20"/>
          <w:szCs w:val="20"/>
        </w:rPr>
      </w:pPr>
      <w:r>
        <w:rPr>
          <w:rFonts w:ascii="Times New Roman" w:eastAsia="宋体" w:hAnsi="Times New Roman" w:hint="eastAsia"/>
          <w:sz w:val="20"/>
          <w:szCs w:val="20"/>
        </w:rPr>
        <w:t>However, when the timing offsets between those DL DCIs and the corresponding PDSCHs are smaller than the threshold, the QCL assumptions of all those PD</w:t>
      </w:r>
      <w:r>
        <w:rPr>
          <w:rFonts w:ascii="Times New Roman" w:eastAsia="宋体" w:hAnsi="Times New Roman" w:hint="eastAsia"/>
          <w:sz w:val="20"/>
          <w:szCs w:val="20"/>
        </w:rPr>
        <w:t xml:space="preserve">SCHs should follow the same default QCL assumption of lowest CORESET ID in latest slot, i.e. slot n according to Rel-15 specification as described in above Case 1. In other words, beam diversity gain for URLL traffic cannot be achieved based on the Rel-15 </w:t>
      </w:r>
      <w:r>
        <w:rPr>
          <w:rFonts w:ascii="Times New Roman" w:eastAsia="宋体" w:hAnsi="Times New Roman" w:hint="eastAsia"/>
          <w:sz w:val="20"/>
          <w:szCs w:val="20"/>
        </w:rPr>
        <w:t xml:space="preserve">default beam mechanism.    </w:t>
      </w:r>
    </w:p>
    <w:p w14:paraId="10BE7919" w14:textId="77777777" w:rsidR="00646595" w:rsidRDefault="00FF5E9B">
      <w:pPr>
        <w:snapToGrid w:val="0"/>
        <w:jc w:val="both"/>
        <w:rPr>
          <w:rFonts w:ascii="Times New Roman" w:eastAsia="宋体" w:hAnsi="Times New Roman"/>
          <w:sz w:val="20"/>
          <w:szCs w:val="20"/>
        </w:rPr>
      </w:pPr>
      <w:r>
        <w:rPr>
          <w:rFonts w:ascii="Times New Roman" w:eastAsia="宋体" w:hAnsi="Times New Roman" w:hint="eastAsia"/>
          <w:sz w:val="20"/>
          <w:szCs w:val="20"/>
        </w:rPr>
        <w:t>The straightforward solution is to allow multiple default QCL assumptions for multiple PDSCHs within one slot. For example, if the offset between the reception of the DL DCI and the corresponding PDSCHs is less than the threshol</w:t>
      </w:r>
      <w:r>
        <w:rPr>
          <w:rFonts w:ascii="Times New Roman" w:eastAsia="宋体" w:hAnsi="Times New Roman" w:hint="eastAsia"/>
          <w:sz w:val="20"/>
          <w:szCs w:val="20"/>
        </w:rPr>
        <w:t>d, the lowest CORESET-ID in the latest small time unit instead of the latest slot is as the QCL reference source. As shown in Figure 7, the QCL assumption of the PDSCH in blue color should follow the TCI of lowest CORESET ID in latest time unit which is no</w:t>
      </w:r>
      <w:r>
        <w:rPr>
          <w:rFonts w:ascii="Times New Roman" w:eastAsia="宋体" w:hAnsi="Times New Roman" w:hint="eastAsia"/>
          <w:sz w:val="20"/>
          <w:szCs w:val="20"/>
        </w:rPr>
        <w:t xml:space="preserve">t later than the time unit 0. Likewise, the QCL assumption of the PDSCH in yellow color should follow the TCI of lowest CORESET ID in latest time unit which is not later than the time unit 1. If there are two CORESETs with different TCI in time unit 0 and </w:t>
      </w:r>
      <w:r>
        <w:rPr>
          <w:rFonts w:ascii="Times New Roman" w:eastAsia="宋体" w:hAnsi="Times New Roman" w:hint="eastAsia"/>
          <w:sz w:val="20"/>
          <w:szCs w:val="20"/>
        </w:rPr>
        <w:t>unit 1, the beam diversity gain can still be achieved.</w:t>
      </w:r>
      <w:r>
        <w:rPr>
          <w:rFonts w:hint="eastAsia"/>
        </w:rPr>
        <w:t xml:space="preserve"> </w:t>
      </w:r>
    </w:p>
    <w:p w14:paraId="76387976" w14:textId="77777777" w:rsidR="00646595" w:rsidRDefault="00FF5E9B">
      <w:pPr>
        <w:snapToGrid w:val="0"/>
        <w:ind w:left="1000" w:hangingChars="500" w:hanging="1000"/>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For URLLC, allow multiple default QCL assumptions for multiple PDSCHs with repetition within one slot if the timing offset between DL DCI and those multiple PDSCHs is smaller than the thre</w:t>
      </w:r>
      <w:r>
        <w:rPr>
          <w:rFonts w:ascii="Times New Roman" w:eastAsia="宋体" w:hAnsi="Times New Roman" w:hint="eastAsia"/>
          <w:i/>
          <w:iCs/>
          <w:sz w:val="20"/>
          <w:szCs w:val="20"/>
        </w:rPr>
        <w:t xml:space="preserve">shold. </w:t>
      </w:r>
      <w:r>
        <w:rPr>
          <w:rFonts w:hint="eastAsia"/>
        </w:rPr>
        <w:t xml:space="preserve"> </w:t>
      </w:r>
    </w:p>
    <w:p w14:paraId="6F98ABB6" w14:textId="77777777" w:rsidR="00646595" w:rsidRDefault="00FF5E9B">
      <w:pPr>
        <w:pStyle w:val="Heading2"/>
        <w:snapToGrid w:val="0"/>
        <w:spacing w:beforeLines="50" w:before="180" w:afterLines="50" w:after="180" w:line="240" w:lineRule="auto"/>
        <w:rPr>
          <w:rFonts w:ascii="Arial" w:hAnsi="Arial" w:cs="Arial"/>
          <w:sz w:val="24"/>
          <w:lang w:val="en-US"/>
        </w:rPr>
      </w:pPr>
      <w:r>
        <w:rPr>
          <w:rFonts w:ascii="Arial" w:hAnsi="Arial" w:cs="Arial"/>
          <w:sz w:val="24"/>
          <w:lang w:val="en-US"/>
        </w:rPr>
        <w:lastRenderedPageBreak/>
        <w:t>Multi-beam measurement in multi-TRP case</w:t>
      </w:r>
    </w:p>
    <w:p w14:paraId="4F004B18" w14:textId="77777777" w:rsidR="00646595" w:rsidRDefault="00FF5E9B">
      <w:pPr>
        <w:overflowPunct w:val="0"/>
        <w:autoSpaceDE w:val="0"/>
        <w:autoSpaceDN w:val="0"/>
        <w:adjustRightInd w:val="0"/>
        <w:spacing w:after="0" w:line="0" w:lineRule="atLeast"/>
        <w:jc w:val="both"/>
        <w:textAlignment w:val="baseline"/>
        <w:rPr>
          <w:rFonts w:ascii="Times New Roman" w:eastAsia="宋体" w:hAnsi="Times New Roman"/>
          <w:sz w:val="20"/>
          <w:szCs w:val="20"/>
        </w:rPr>
      </w:pPr>
      <w:r>
        <w:rPr>
          <w:rFonts w:ascii="Times New Roman" w:eastAsia="宋体" w:hAnsi="Times New Roman"/>
          <w:sz w:val="20"/>
          <w:szCs w:val="20"/>
        </w:rPr>
        <w:t>Consideration on constraints of TRP antenna panels should be taken for selecting Tx beam(s) for downlink, like the maximum number of SRS resource sets that can be configured for UL beam management in NR Rel</w:t>
      </w:r>
      <w:r>
        <w:rPr>
          <w:rFonts w:ascii="Times New Roman" w:eastAsia="宋体" w:hAnsi="Times New Roman"/>
          <w:sz w:val="20"/>
          <w:szCs w:val="20"/>
        </w:rPr>
        <w:t xml:space="preserve">-15. For instance, Tx beams generated from one Tx panel cannot be transmitted simultaneously. Therefore, enhanced signaling or configuration would allow gNB to inform this kind of information of UE for beam reporting. </w:t>
      </w:r>
    </w:p>
    <w:p w14:paraId="594DB9CC" w14:textId="77777777" w:rsidR="00646595" w:rsidRDefault="00FF5E9B">
      <w:pPr>
        <w:numPr>
          <w:ilvl w:val="0"/>
          <w:numId w:val="4"/>
        </w:numPr>
        <w:spacing w:after="0" w:line="0" w:lineRule="atLeast"/>
        <w:ind w:hanging="357"/>
        <w:jc w:val="both"/>
        <w:rPr>
          <w:rFonts w:ascii="Times New Roman" w:eastAsia="宋体" w:hAnsi="Times New Roman"/>
          <w:sz w:val="20"/>
          <w:szCs w:val="20"/>
        </w:rPr>
      </w:pPr>
      <w:r>
        <w:rPr>
          <w:rFonts w:ascii="Times New Roman" w:eastAsia="宋体" w:hAnsi="Times New Roman"/>
          <w:sz w:val="20"/>
          <w:szCs w:val="20"/>
        </w:rPr>
        <w:t>For one TRP, there may have more than</w:t>
      </w:r>
      <w:r>
        <w:rPr>
          <w:rFonts w:ascii="Times New Roman" w:eastAsia="宋体" w:hAnsi="Times New Roman"/>
          <w:sz w:val="20"/>
          <w:szCs w:val="20"/>
        </w:rPr>
        <w:t xml:space="preserve"> one TRP antenna group (i.e., multiple Tx panels), but these multiple panels often share the same boresight and similar large-scale channel properties. If beam management is done for each individual panel, the overheads of beam measurement and reporting pe</w:t>
      </w:r>
      <w:r>
        <w:rPr>
          <w:rFonts w:ascii="Times New Roman" w:eastAsia="宋体" w:hAnsi="Times New Roman"/>
          <w:sz w:val="20"/>
          <w:szCs w:val="20"/>
        </w:rPr>
        <w:t>r each TRP antenna group (i.e, per each Tx panel) is very high and NOT necessary. Therefore, in general, these TRP antenna groups from one same TRP can be virtualized as one group e.g. represented by one resource set, in which no more than N beams can be s</w:t>
      </w:r>
      <w:r>
        <w:rPr>
          <w:rFonts w:ascii="Times New Roman" w:eastAsia="宋体" w:hAnsi="Times New Roman"/>
          <w:sz w:val="20"/>
          <w:szCs w:val="20"/>
        </w:rPr>
        <w:t>imultaneously transmitted, where N depends on gNB capability. Furthermore, in multi-TRP case, gNB can configure multiple groups, respectively, each of which is associated with one TRP.</w:t>
      </w:r>
    </w:p>
    <w:p w14:paraId="15DDBE66" w14:textId="77777777" w:rsidR="00646595" w:rsidRDefault="00FF5E9B">
      <w:pPr>
        <w:numPr>
          <w:ilvl w:val="0"/>
          <w:numId w:val="4"/>
        </w:numPr>
        <w:spacing w:after="0" w:line="0" w:lineRule="atLeast"/>
        <w:ind w:hanging="357"/>
        <w:jc w:val="both"/>
        <w:rPr>
          <w:rFonts w:ascii="Times New Roman" w:eastAsia="宋体" w:hAnsi="Times New Roman"/>
          <w:sz w:val="20"/>
          <w:szCs w:val="20"/>
        </w:rPr>
      </w:pPr>
      <w:r>
        <w:rPr>
          <w:rFonts w:ascii="Times New Roman" w:eastAsia="宋体" w:hAnsi="Times New Roman"/>
          <w:sz w:val="20"/>
          <w:szCs w:val="20"/>
        </w:rPr>
        <w:t xml:space="preserve">When a UE selects beams for simultaneous receiving in group based beam </w:t>
      </w:r>
      <w:r>
        <w:rPr>
          <w:rFonts w:ascii="Times New Roman" w:eastAsia="宋体" w:hAnsi="Times New Roman"/>
          <w:sz w:val="20"/>
          <w:szCs w:val="20"/>
        </w:rPr>
        <w:t xml:space="preserve">reporting, the selection rules should follow the constraint that the number of these beams (to be reported for simultaneous receiving) from the same gNB antenna groups can NOT be more than N. </w:t>
      </w:r>
    </w:p>
    <w:p w14:paraId="76DE091F" w14:textId="77777777" w:rsidR="00646595" w:rsidRDefault="00FF5E9B">
      <w:pPr>
        <w:spacing w:beforeLines="50" w:before="180" w:after="120" w:line="240" w:lineRule="auto"/>
        <w:jc w:val="both"/>
        <w:rPr>
          <w:rFonts w:ascii="Times New Roman" w:hAnsi="Times New Roman"/>
          <w:i/>
          <w:sz w:val="20"/>
          <w:szCs w:val="20"/>
        </w:rPr>
      </w:pPr>
      <w:r>
        <w:rPr>
          <w:rFonts w:ascii="Times New Roman" w:eastAsia="宋体" w:hAnsi="Times New Roman"/>
          <w:b/>
          <w:i/>
          <w:sz w:val="20"/>
          <w:szCs w:val="20"/>
        </w:rPr>
        <w:t>Proposal 5:</w:t>
      </w:r>
      <w:r>
        <w:rPr>
          <w:rFonts w:ascii="Times New Roman" w:eastAsia="宋体" w:hAnsi="Times New Roman"/>
          <w:i/>
          <w:sz w:val="20"/>
          <w:szCs w:val="20"/>
        </w:rPr>
        <w:t xml:space="preserve"> Support indication of simultaneous transmission capability from gNB for multi-TRP. </w:t>
      </w:r>
      <w:r>
        <w:rPr>
          <w:rFonts w:ascii="Times New Roman" w:hAnsi="Times New Roman"/>
          <w:i/>
          <w:sz w:val="20"/>
          <w:szCs w:val="20"/>
        </w:rPr>
        <w:t xml:space="preserve"> </w:t>
      </w:r>
    </w:p>
    <w:p w14:paraId="3F10E1B3" w14:textId="77777777" w:rsidR="00646595" w:rsidRDefault="00FF5E9B">
      <w:pPr>
        <w:pStyle w:val="Heading2"/>
        <w:snapToGrid w:val="0"/>
        <w:spacing w:beforeLines="50" w:before="180" w:afterLines="50" w:after="180" w:line="240" w:lineRule="auto"/>
        <w:rPr>
          <w:rFonts w:ascii="Arial" w:hAnsi="Arial" w:cs="Arial"/>
          <w:sz w:val="24"/>
          <w:lang w:val="en-US"/>
        </w:rPr>
      </w:pPr>
      <w:r>
        <w:rPr>
          <w:rFonts w:ascii="Arial" w:hAnsi="Arial" w:cs="Arial" w:hint="eastAsia"/>
          <w:sz w:val="24"/>
          <w:lang w:val="en-US"/>
        </w:rPr>
        <w:t>Beam failure recovery enhancement for Multi-TRP transmission</w:t>
      </w:r>
    </w:p>
    <w:p w14:paraId="05AF5830"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multiple PDCCH design especially for two TRPs without ideal backhaul,</w:t>
      </w:r>
      <w:r>
        <w:rPr>
          <w:rFonts w:ascii="Times New Roman" w:eastAsia="宋体" w:hAnsi="Times New Roman"/>
          <w:sz w:val="20"/>
          <w:szCs w:val="20"/>
        </w:rPr>
        <w:t xml:space="preserve"> </w:t>
      </w:r>
      <w:r>
        <w:rPr>
          <w:rFonts w:ascii="Times New Roman" w:eastAsia="宋体" w:hAnsi="Times New Roman" w:hint="eastAsia"/>
          <w:sz w:val="20"/>
          <w:szCs w:val="20"/>
        </w:rPr>
        <w:t>separation of configurations such as</w:t>
      </w:r>
      <w:r>
        <w:rPr>
          <w:rFonts w:ascii="Times New Roman" w:eastAsia="宋体" w:hAnsi="Times New Roman" w:hint="eastAsia"/>
          <w:sz w:val="20"/>
          <w:szCs w:val="20"/>
        </w:rPr>
        <w:t xml:space="preserve"> PDSCH configuration, PDCCH configuration, beam/CSI/ACK measurement and feedback for the two TRPs seems straightforward to be supported. In order to keep good beam connection from UE to both TRPs, two beam failure recovery procedures in one BWP correspondi</w:t>
      </w:r>
      <w:r>
        <w:rPr>
          <w:rFonts w:ascii="Times New Roman" w:eastAsia="宋体" w:hAnsi="Times New Roman" w:hint="eastAsia"/>
          <w:sz w:val="20"/>
          <w:szCs w:val="20"/>
        </w:rPr>
        <w:t>ng to two TRPs should be considered especially when there isn</w:t>
      </w:r>
      <w:r>
        <w:rPr>
          <w:rFonts w:ascii="Times New Roman" w:eastAsia="宋体" w:hAnsi="Times New Roman"/>
          <w:sz w:val="20"/>
          <w:szCs w:val="20"/>
        </w:rPr>
        <w:t>’</w:t>
      </w:r>
      <w:r>
        <w:rPr>
          <w:rFonts w:ascii="Times New Roman" w:eastAsia="宋体" w:hAnsi="Times New Roman" w:hint="eastAsia"/>
          <w:sz w:val="20"/>
          <w:szCs w:val="20"/>
        </w:rPr>
        <w:t xml:space="preserve">t ideal backhaul between the two TRPs. </w:t>
      </w:r>
    </w:p>
    <w:p w14:paraId="32D6D9D8" w14:textId="77777777" w:rsidR="00646595" w:rsidRDefault="00FF5E9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shown in Figure 8-a~Figure 8-b, TRP0 is associated with one beam failure recovery procedure with parameters (q0_0, q1_0 and PRACH-BFR_0) and TRP1 is as</w:t>
      </w:r>
      <w:r>
        <w:rPr>
          <w:rFonts w:ascii="Times New Roman" w:eastAsia="宋体" w:hAnsi="Times New Roman" w:hint="eastAsia"/>
          <w:sz w:val="20"/>
          <w:szCs w:val="20"/>
        </w:rPr>
        <w:t>sociated with the other beam failure recovery procedure with parameters (q0_1, q1_1 and PRACH-BFR_1). The UE will initiate the beam recovery request as long as either the radio link quality q0_0 or q0_1 is below the threshold. Based on the support of the t</w:t>
      </w:r>
      <w:r>
        <w:rPr>
          <w:rFonts w:ascii="Times New Roman" w:eastAsia="宋体" w:hAnsi="Times New Roman" w:hint="eastAsia"/>
          <w:sz w:val="20"/>
          <w:szCs w:val="20"/>
        </w:rPr>
        <w:t xml:space="preserve">wo independent BFR, beam failure can be recovered quickly for each link and transmission latency can be reduced. And hence, it guarantees two TRPs both always work especially in high frequency bands. </w:t>
      </w:r>
    </w:p>
    <w:p w14:paraId="776FF3FB" w14:textId="77777777" w:rsidR="00646595" w:rsidRDefault="00FF5E9B">
      <w:r>
        <w:object w:dxaOrig="4050" w:dyaOrig="3030" w14:anchorId="2B9C116E">
          <v:shape id="_x0000_i1027" type="#_x0000_t75" style="width:202.25pt;height:151.5pt" o:ole="">
            <v:imagedata r:id="rId16" o:title=""/>
          </v:shape>
          <o:OLEObject Type="Embed" ProgID="Visio.Drawing.11" ShapeID="_x0000_i1027" DrawAspect="Content" ObjectID="_1611833253" r:id="rId17"/>
        </w:object>
      </w:r>
      <w:r>
        <w:rPr>
          <w:rFonts w:hint="eastAsia"/>
        </w:rPr>
        <w:t xml:space="preserve">     </w:t>
      </w:r>
      <w:r>
        <w:object w:dxaOrig="4760" w:dyaOrig="3030" w14:anchorId="1D557CA9">
          <v:shape id="_x0000_i1028" type="#_x0000_t75" style="width:237.9pt;height:151.5pt" o:ole="">
            <v:imagedata r:id="rId18" o:title=""/>
          </v:shape>
          <o:OLEObject Type="Embed" ProgID="Visio.Drawing.11" ShapeID="_x0000_i1028" DrawAspect="Content" ObjectID="_1611833254" r:id="rId19"/>
        </w:object>
      </w:r>
    </w:p>
    <w:p w14:paraId="1CEFCD16" w14:textId="77777777" w:rsidR="00646595" w:rsidRDefault="00FF5E9B">
      <w:r>
        <w:rPr>
          <w:rFonts w:hint="eastAsia"/>
        </w:rPr>
        <w:t xml:space="preserve">               (a)                                            (b)</w:t>
      </w:r>
    </w:p>
    <w:p w14:paraId="369B83DC" w14:textId="77777777" w:rsidR="00646595" w:rsidRDefault="00FF5E9B">
      <w:pPr>
        <w:jc w:val="center"/>
        <w:rPr>
          <w:rFonts w:ascii="Times New Roman" w:eastAsia="宋体" w:hAnsi="Times New Roman"/>
          <w:sz w:val="20"/>
          <w:szCs w:val="20"/>
        </w:rPr>
      </w:pPr>
      <w:r>
        <w:rPr>
          <w:rFonts w:ascii="Times New Roman" w:eastAsia="宋体" w:hAnsi="Times New Roman" w:hint="eastAsia"/>
          <w:sz w:val="20"/>
          <w:szCs w:val="20"/>
        </w:rPr>
        <w:t xml:space="preserve"> (a) Each PRACH-BFR resources to each TRP   (b) Two PRACH-BFR resources to one TRP</w:t>
      </w:r>
    </w:p>
    <w:p w14:paraId="071E519D" w14:textId="77777777" w:rsidR="00646595" w:rsidRDefault="00FF5E9B">
      <w:pPr>
        <w:jc w:val="center"/>
        <w:rPr>
          <w:rFonts w:ascii="Times New Roman" w:eastAsia="宋体" w:hAnsi="Times New Roman"/>
          <w:sz w:val="20"/>
          <w:szCs w:val="20"/>
        </w:rPr>
      </w:pPr>
      <w:r>
        <w:rPr>
          <w:rFonts w:ascii="Times New Roman" w:eastAsia="宋体" w:hAnsi="Times New Roman" w:hint="eastAsia"/>
          <w:sz w:val="20"/>
          <w:szCs w:val="20"/>
        </w:rPr>
        <w:lastRenderedPageBreak/>
        <w:t>Figure 8 Two BFR procedure</w:t>
      </w:r>
      <w:r>
        <w:rPr>
          <w:rFonts w:ascii="Times New Roman" w:eastAsia="宋体" w:hAnsi="Times New Roman"/>
          <w:sz w:val="20"/>
          <w:szCs w:val="20"/>
        </w:rPr>
        <w:t>s</w:t>
      </w:r>
      <w:r>
        <w:rPr>
          <w:rFonts w:ascii="Times New Roman" w:eastAsia="宋体" w:hAnsi="Times New Roman" w:hint="eastAsia"/>
          <w:sz w:val="20"/>
          <w:szCs w:val="20"/>
        </w:rPr>
        <w:t xml:space="preserve"> for multi-TRP transmission</w:t>
      </w:r>
    </w:p>
    <w:p w14:paraId="312D9A79" w14:textId="77777777" w:rsidR="00646595" w:rsidRDefault="00FF5E9B">
      <w:pPr>
        <w:snapToGrid w:val="0"/>
        <w:spacing w:beforeLines="50" w:before="180" w:afterLines="50" w:after="180" w:line="240" w:lineRule="auto"/>
        <w:ind w:left="1000" w:hangingChars="500" w:hanging="1000"/>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Two beam failure recovery </w:t>
      </w:r>
      <w:r>
        <w:rPr>
          <w:rFonts w:ascii="Times New Roman" w:eastAsia="宋体" w:hAnsi="Times New Roman" w:hint="eastAsia"/>
          <w:i/>
          <w:iCs/>
          <w:sz w:val="20"/>
          <w:szCs w:val="20"/>
        </w:rPr>
        <w:t>procedures should be supported and each procedure is associated with one TRP.</w:t>
      </w:r>
    </w:p>
    <w:p w14:paraId="3D8BF4C4" w14:textId="77777777" w:rsidR="00646595" w:rsidRDefault="00FF5E9B">
      <w:pPr>
        <w:snapToGrid w:val="0"/>
        <w:spacing w:beforeLines="50" w:before="180" w:afterLines="50" w:after="180" w:line="240" w:lineRule="auto"/>
        <w:ind w:left="1100" w:hangingChars="500" w:hanging="1100"/>
        <w:jc w:val="both"/>
        <w:rPr>
          <w:rFonts w:eastAsia="黑体"/>
        </w:rPr>
      </w:pPr>
      <w:r>
        <w:rPr>
          <w:rFonts w:eastAsia="黑体" w:hint="eastAsia"/>
        </w:rPr>
        <w:t xml:space="preserve">  </w:t>
      </w:r>
    </w:p>
    <w:p w14:paraId="3D39D0C1" w14:textId="77777777" w:rsidR="00646595" w:rsidRDefault="00FF5E9B">
      <w:pPr>
        <w:pStyle w:val="Heading1"/>
        <w:snapToGrid w:val="0"/>
        <w:spacing w:beforeLines="50" w:before="180" w:afterLines="50" w:after="180"/>
        <w:ind w:left="431" w:hanging="431"/>
        <w:rPr>
          <w:sz w:val="28"/>
          <w:lang w:val="en-US"/>
        </w:rPr>
      </w:pPr>
      <w:r>
        <w:rPr>
          <w:sz w:val="28"/>
          <w:lang w:val="en-US"/>
        </w:rPr>
        <w:t>Conclusions</w:t>
      </w:r>
    </w:p>
    <w:p w14:paraId="6E0A55E0" w14:textId="77777777" w:rsidR="00646595" w:rsidRDefault="00FF5E9B">
      <w:pPr>
        <w:snapToGrid w:val="0"/>
        <w:spacing w:beforeLines="50" w:before="180" w:afterLines="50" w:after="180" w:line="240" w:lineRule="auto"/>
        <w:jc w:val="both"/>
        <w:rPr>
          <w:rFonts w:ascii="Times New Roman" w:hAnsi="Times New Roman"/>
          <w:sz w:val="20"/>
          <w:szCs w:val="20"/>
          <w:lang w:val="en-GB"/>
        </w:rPr>
      </w:pPr>
      <w:bookmarkStart w:id="7" w:name="OLE_LINK10"/>
      <w:bookmarkStart w:id="8"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the default QCL assumption and BFR with multi-TRP/panel transmission</w:t>
      </w:r>
      <w:r>
        <w:rPr>
          <w:rFonts w:hint="eastAsia"/>
          <w:i/>
          <w:iCs/>
        </w:rPr>
        <w:t>.</w:t>
      </w:r>
      <w:r>
        <w:rPr>
          <w:rFonts w:ascii="Times New Roman" w:eastAsia="宋体" w:hAnsi="Times New Roman" w:hint="eastAsia"/>
          <w:i/>
          <w:iCs/>
          <w:sz w:val="20"/>
          <w:szCs w:val="20"/>
        </w:rPr>
        <w:t xml:space="preserve"> </w:t>
      </w:r>
      <w:r>
        <w:rPr>
          <w:rFonts w:ascii="Times New Roman" w:hAnsi="Times New Roman"/>
          <w:sz w:val="20"/>
          <w:szCs w:val="20"/>
          <w:lang w:val="en-GB"/>
        </w:rPr>
        <w:t>There are following observations and pr</w:t>
      </w:r>
      <w:r>
        <w:rPr>
          <w:rFonts w:ascii="Times New Roman" w:hAnsi="Times New Roman"/>
          <w:sz w:val="20"/>
          <w:szCs w:val="20"/>
          <w:lang w:val="en-GB"/>
        </w:rPr>
        <w:t>oposals.</w:t>
      </w:r>
    </w:p>
    <w:p w14:paraId="1D8D6372" w14:textId="77777777" w:rsidR="00646595" w:rsidRDefault="00FF5E9B">
      <w:pPr>
        <w:snapToGrid w:val="0"/>
        <w:spacing w:beforeLines="50" w:before="180" w:afterLines="50" w:after="180" w:line="240" w:lineRule="auto"/>
        <w:ind w:left="1200" w:hangingChars="600" w:hanging="1200"/>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 xml:space="preserve">The default QCL </w:t>
      </w:r>
      <w:r>
        <w:rPr>
          <w:rFonts w:ascii="Times New Roman" w:eastAsia="宋体" w:hAnsi="Times New Roman"/>
          <w:i/>
          <w:iCs/>
          <w:sz w:val="20"/>
          <w:szCs w:val="20"/>
        </w:rPr>
        <w:t>assumption</w:t>
      </w:r>
      <w:r>
        <w:rPr>
          <w:rFonts w:ascii="Times New Roman" w:eastAsia="宋体" w:hAnsi="Times New Roman" w:hint="eastAsia"/>
          <w:i/>
          <w:iCs/>
          <w:sz w:val="20"/>
          <w:szCs w:val="20"/>
        </w:rPr>
        <w:t xml:space="preserve"> should be </w:t>
      </w:r>
      <w:r>
        <w:rPr>
          <w:rFonts w:ascii="Times New Roman" w:eastAsia="宋体" w:hAnsi="Times New Roman"/>
          <w:i/>
          <w:iCs/>
          <w:sz w:val="20"/>
          <w:szCs w:val="20"/>
        </w:rPr>
        <w:t>enhanced</w:t>
      </w:r>
      <w:r>
        <w:rPr>
          <w:rFonts w:ascii="Times New Roman" w:eastAsia="宋体" w:hAnsi="Times New Roman" w:hint="eastAsia"/>
          <w:i/>
          <w:iCs/>
          <w:sz w:val="20"/>
          <w:szCs w:val="20"/>
        </w:rPr>
        <w:t xml:space="preserve"> in the single PDCCH design considering in the case when the number of TCI states for CORESET is mismatched with the number of DMRS port groups of scheduling PDSCH or the number of TCI state</w:t>
      </w:r>
      <w:r>
        <w:rPr>
          <w:rFonts w:ascii="Times New Roman" w:eastAsia="宋体" w:hAnsi="Times New Roman" w:hint="eastAsia"/>
          <w:i/>
          <w:iCs/>
          <w:sz w:val="20"/>
          <w:szCs w:val="20"/>
        </w:rPr>
        <w:t xml:space="preserve">s for CORESET is larger than one. </w:t>
      </w:r>
    </w:p>
    <w:p w14:paraId="542CC3A3" w14:textId="77777777" w:rsidR="00646595" w:rsidRDefault="00FF5E9B">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Support</w:t>
      </w:r>
      <w:r>
        <w:rPr>
          <w:rFonts w:ascii="Times New Roman" w:eastAsia="宋体" w:hAnsi="Times New Roman" w:hint="eastAsia"/>
          <w:i/>
          <w:iCs/>
          <w:sz w:val="20"/>
          <w:szCs w:val="20"/>
        </w:rPr>
        <w:t xml:space="preserve"> configur</w:t>
      </w:r>
      <w:r>
        <w:rPr>
          <w:rFonts w:ascii="Times New Roman" w:eastAsia="宋体" w:hAnsi="Times New Roman"/>
          <w:i/>
          <w:iCs/>
          <w:sz w:val="20"/>
          <w:szCs w:val="20"/>
        </w:rPr>
        <w:t>ation of</w:t>
      </w:r>
      <w:r>
        <w:rPr>
          <w:rFonts w:ascii="Times New Roman" w:eastAsia="宋体" w:hAnsi="Times New Roman" w:hint="eastAsia"/>
          <w:i/>
          <w:iCs/>
          <w:sz w:val="20"/>
          <w:szCs w:val="20"/>
        </w:rPr>
        <w:t xml:space="preserve"> two TCI states for one CORESET</w:t>
      </w:r>
      <w:r>
        <w:rPr>
          <w:rFonts w:ascii="Times New Roman" w:eastAsia="宋体" w:hAnsi="Times New Roman"/>
          <w:i/>
          <w:iCs/>
          <w:sz w:val="20"/>
          <w:szCs w:val="20"/>
        </w:rPr>
        <w:t xml:space="preserve"> to support default QCL assumption for multi-TRP</w:t>
      </w:r>
      <w:r>
        <w:rPr>
          <w:rFonts w:ascii="Times New Roman" w:eastAsia="宋体" w:hAnsi="Times New Roman" w:hint="eastAsia"/>
          <w:i/>
          <w:iCs/>
          <w:sz w:val="20"/>
          <w:szCs w:val="20"/>
        </w:rPr>
        <w:t xml:space="preserve">.. </w:t>
      </w:r>
    </w:p>
    <w:p w14:paraId="545A1908" w14:textId="77777777" w:rsidR="00646595" w:rsidRDefault="00FF5E9B">
      <w:pPr>
        <w:snapToGrid w:val="0"/>
        <w:spacing w:beforeLines="50" w:before="180" w:afterLines="50" w:after="180" w:line="240" w:lineRule="auto"/>
        <w:ind w:left="1000" w:hangingChars="500" w:hanging="1000"/>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The configured CORESET should be divided to two CORESET groups, and the association </w:t>
      </w:r>
      <w:r>
        <w:rPr>
          <w:rFonts w:ascii="Times New Roman" w:eastAsia="宋体" w:hAnsi="Times New Roman" w:hint="eastAsia"/>
          <w:i/>
          <w:iCs/>
          <w:sz w:val="20"/>
          <w:szCs w:val="20"/>
        </w:rPr>
        <w:t>between the two CORESET groups and the two PDSCH should be set up</w:t>
      </w:r>
      <w:r>
        <w:rPr>
          <w:rFonts w:ascii="Times New Roman" w:eastAsia="宋体" w:hAnsi="Times New Roman" w:hint="eastAsia"/>
          <w:sz w:val="20"/>
          <w:szCs w:val="20"/>
        </w:rPr>
        <w:t>.</w:t>
      </w:r>
    </w:p>
    <w:p w14:paraId="1F7F396D" w14:textId="77777777" w:rsidR="00646595" w:rsidRDefault="00FF5E9B">
      <w:pPr>
        <w:snapToGrid w:val="0"/>
        <w:spacing w:beforeLines="50" w:before="180" w:afterLines="50" w:after="180" w:line="240" w:lineRule="auto"/>
        <w:ind w:left="800" w:hangingChars="400" w:hanging="800"/>
        <w:jc w:val="both"/>
        <w:rPr>
          <w:rFonts w:ascii="Times New Roman" w:eastAsia="宋体" w:hAnsi="Times New Roman"/>
          <w:sz w:val="20"/>
          <w:szCs w:val="20"/>
        </w:rPr>
      </w:pPr>
      <w:r>
        <w:rPr>
          <w:rFonts w:ascii="Times New Roman" w:eastAsia="宋体" w:hAnsi="Times New Roman" w:hint="eastAsia"/>
          <w:b/>
          <w:bCs/>
          <w:i/>
          <w:iCs/>
          <w:sz w:val="20"/>
          <w:szCs w:val="20"/>
        </w:rPr>
        <w:tab/>
        <w:t xml:space="preserve">- </w:t>
      </w:r>
      <w:r>
        <w:rPr>
          <w:rFonts w:ascii="Times New Roman" w:eastAsia="宋体" w:hAnsi="Times New Roman" w:hint="eastAsia"/>
          <w:i/>
          <w:iCs/>
          <w:sz w:val="20"/>
          <w:szCs w:val="20"/>
        </w:rPr>
        <w:t>The QCL assumption of each PDSCH should be inferred from the lowest CORESET-ID within the CORESET group when the offset between the DL DCI and the PDSCH is less than the threshold</w:t>
      </w:r>
      <w:r>
        <w:rPr>
          <w:rFonts w:ascii="Times New Roman" w:eastAsia="宋体" w:hAnsi="Times New Roman" w:hint="eastAsia"/>
          <w:sz w:val="20"/>
          <w:szCs w:val="20"/>
        </w:rPr>
        <w:t xml:space="preserve">. </w:t>
      </w:r>
    </w:p>
    <w:p w14:paraId="6ECAC530" w14:textId="77777777" w:rsidR="00646595" w:rsidRDefault="00FF5E9B">
      <w:pPr>
        <w:snapToGrid w:val="0"/>
        <w:spacing w:beforeLines="50" w:before="180" w:afterLines="50" w:after="180" w:line="240" w:lineRule="auto"/>
        <w:ind w:left="1000" w:hangingChars="500" w:hanging="1000"/>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For URLLC, allow multiple default QCL assumptions for multiple PDSCHs with repetition within one slot if the timing offset between DL DCI and those multiple PDSCHs is smaller than the threshold. </w:t>
      </w:r>
    </w:p>
    <w:p w14:paraId="73FBC449" w14:textId="77777777" w:rsidR="00646595" w:rsidRDefault="00FF5E9B">
      <w:pPr>
        <w:spacing w:beforeLines="50" w:before="180" w:after="120"/>
        <w:jc w:val="both"/>
        <w:rPr>
          <w:rFonts w:ascii="Times New Roman" w:hAnsi="Times New Roman"/>
          <w:i/>
          <w:sz w:val="20"/>
          <w:szCs w:val="20"/>
        </w:rPr>
      </w:pPr>
      <w:r>
        <w:rPr>
          <w:rFonts w:ascii="Times New Roman" w:eastAsia="宋体" w:hAnsi="Times New Roman"/>
          <w:b/>
          <w:i/>
          <w:sz w:val="20"/>
          <w:szCs w:val="20"/>
        </w:rPr>
        <w:t>Proposal 5:</w:t>
      </w:r>
      <w:r>
        <w:rPr>
          <w:rFonts w:ascii="Times New Roman" w:eastAsia="宋体" w:hAnsi="Times New Roman"/>
          <w:i/>
          <w:sz w:val="20"/>
          <w:szCs w:val="20"/>
        </w:rPr>
        <w:t xml:space="preserve"> Support indication of simultaneous t</w:t>
      </w:r>
      <w:r>
        <w:rPr>
          <w:rFonts w:ascii="Times New Roman" w:eastAsia="宋体" w:hAnsi="Times New Roman"/>
          <w:i/>
          <w:sz w:val="20"/>
          <w:szCs w:val="20"/>
        </w:rPr>
        <w:t>ransmission capability from gNB for multi-TRP.</w:t>
      </w:r>
      <w:r>
        <w:rPr>
          <w:rFonts w:ascii="Times New Roman" w:hAnsi="Times New Roman"/>
          <w:i/>
          <w:sz w:val="20"/>
          <w:szCs w:val="20"/>
        </w:rPr>
        <w:t xml:space="preserve"> </w:t>
      </w:r>
    </w:p>
    <w:p w14:paraId="1CA61C7B" w14:textId="77777777" w:rsidR="00646595" w:rsidRDefault="00FF5E9B">
      <w:pPr>
        <w:snapToGrid w:val="0"/>
        <w:spacing w:beforeLines="50" w:before="180" w:afterLines="50" w:after="180" w:line="240" w:lineRule="auto"/>
        <w:ind w:left="1000" w:hangingChars="500" w:hanging="1000"/>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Two beam failure recovery procedures should be supported and each procedure is associated with one TRP.</w:t>
      </w:r>
    </w:p>
    <w:p w14:paraId="2B9F6D2E" w14:textId="77777777" w:rsidR="00646595" w:rsidRDefault="00FF5E9B">
      <w:pPr>
        <w:pStyle w:val="Heading1"/>
        <w:snapToGrid w:val="0"/>
        <w:spacing w:beforeLines="50" w:before="180" w:afterLines="50" w:after="180"/>
        <w:ind w:left="431" w:hanging="431"/>
        <w:rPr>
          <w:sz w:val="28"/>
          <w:lang w:val="en-US"/>
        </w:rPr>
      </w:pPr>
      <w:r>
        <w:rPr>
          <w:sz w:val="28"/>
          <w:lang w:val="en-US"/>
        </w:rPr>
        <w:t>References</w:t>
      </w:r>
    </w:p>
    <w:bookmarkEnd w:id="7"/>
    <w:bookmarkEnd w:id="8"/>
    <w:p w14:paraId="1E2C5707" w14:textId="77777777" w:rsidR="00646595" w:rsidRDefault="00FF5E9B">
      <w:pPr>
        <w:pStyle w:val="NoSpacing1"/>
        <w:numPr>
          <w:ilvl w:val="0"/>
          <w:numId w:val="5"/>
        </w:numPr>
        <w:snapToGrid w:val="0"/>
        <w:rPr>
          <w:sz w:val="20"/>
          <w:szCs w:val="20"/>
          <w:lang w:val="en-GB"/>
        </w:rPr>
      </w:pPr>
      <w:r>
        <w:rPr>
          <w:rFonts w:hint="eastAsia"/>
          <w:sz w:val="20"/>
          <w:szCs w:val="20"/>
        </w:rPr>
        <w:t>Chairman notes of RAN1#95 meeting</w:t>
      </w:r>
    </w:p>
    <w:p w14:paraId="26136ECD" w14:textId="77777777" w:rsidR="00646595" w:rsidRDefault="00FF5E9B">
      <w:pPr>
        <w:pStyle w:val="NoSpacing1"/>
        <w:numPr>
          <w:ilvl w:val="0"/>
          <w:numId w:val="5"/>
        </w:numPr>
        <w:snapToGrid w:val="0"/>
        <w:rPr>
          <w:sz w:val="20"/>
          <w:szCs w:val="20"/>
          <w:lang w:val="en-GB"/>
        </w:rPr>
      </w:pPr>
      <w:r>
        <w:rPr>
          <w:rFonts w:hint="eastAsia"/>
          <w:sz w:val="20"/>
          <w:szCs w:val="20"/>
          <w:lang w:val="en-GB"/>
        </w:rPr>
        <w:t>R1-1900087</w:t>
      </w:r>
      <w:r>
        <w:rPr>
          <w:rFonts w:hint="eastAsia"/>
          <w:sz w:val="20"/>
          <w:szCs w:val="20"/>
        </w:rPr>
        <w:t>,</w:t>
      </w:r>
      <w:r>
        <w:rPr>
          <w:rFonts w:hint="eastAsia"/>
          <w:sz w:val="20"/>
          <w:szCs w:val="20"/>
          <w:lang w:val="en-GB"/>
        </w:rPr>
        <w:t xml:space="preserve"> Enhancements on multi-TRP and multi</w:t>
      </w:r>
      <w:r>
        <w:rPr>
          <w:rFonts w:hint="eastAsia"/>
          <w:sz w:val="20"/>
          <w:szCs w:val="20"/>
          <w:lang w:val="en-GB"/>
        </w:rPr>
        <w:t>-panel transmission</w:t>
      </w:r>
      <w:r>
        <w:rPr>
          <w:rFonts w:hint="eastAsia"/>
          <w:sz w:val="20"/>
          <w:szCs w:val="20"/>
        </w:rPr>
        <w:t>, ZTE</w:t>
      </w:r>
    </w:p>
    <w:p w14:paraId="528E7E58" w14:textId="77777777" w:rsidR="00646595" w:rsidRDefault="00FF5E9B">
      <w:pPr>
        <w:pStyle w:val="NoSpacing1"/>
        <w:numPr>
          <w:ilvl w:val="0"/>
          <w:numId w:val="5"/>
        </w:numPr>
        <w:snapToGrid w:val="0"/>
        <w:rPr>
          <w:sz w:val="20"/>
          <w:szCs w:val="20"/>
          <w:lang w:val="en-GB"/>
        </w:rPr>
      </w:pPr>
      <w:r>
        <w:rPr>
          <w:rFonts w:hint="eastAsia"/>
          <w:sz w:val="20"/>
          <w:szCs w:val="20"/>
        </w:rPr>
        <w:t xml:space="preserve">Chairman notes of </w:t>
      </w:r>
      <w:r>
        <w:rPr>
          <w:rFonts w:hint="eastAsia"/>
          <w:sz w:val="20"/>
          <w:szCs w:val="20"/>
        </w:rPr>
        <w:t xml:space="preserve">NR </w:t>
      </w:r>
      <w:r>
        <w:rPr>
          <w:rFonts w:hint="eastAsia"/>
          <w:sz w:val="20"/>
          <w:szCs w:val="20"/>
        </w:rPr>
        <w:t>RAN1</w:t>
      </w:r>
      <w:r>
        <w:rPr>
          <w:rFonts w:hint="eastAsia"/>
          <w:sz w:val="20"/>
          <w:szCs w:val="20"/>
        </w:rPr>
        <w:t xml:space="preserve"> </w:t>
      </w:r>
      <w:r>
        <w:rPr>
          <w:rFonts w:hint="eastAsia"/>
          <w:sz w:val="20"/>
          <w:szCs w:val="20"/>
        </w:rPr>
        <w:t>A</w:t>
      </w:r>
      <w:r>
        <w:rPr>
          <w:rFonts w:hint="eastAsia"/>
          <w:sz w:val="20"/>
          <w:szCs w:val="20"/>
        </w:rPr>
        <w:t>H</w:t>
      </w:r>
      <w:r>
        <w:rPr>
          <w:rFonts w:hint="eastAsia"/>
          <w:sz w:val="20"/>
          <w:szCs w:val="20"/>
        </w:rPr>
        <w:t>1901 meeting</w:t>
      </w:r>
    </w:p>
    <w:p w14:paraId="3F91E7EF" w14:textId="77777777" w:rsidR="00646595" w:rsidRDefault="00646595">
      <w:pPr>
        <w:pStyle w:val="NoSpacing1"/>
        <w:numPr>
          <w:ilvl w:val="255"/>
          <w:numId w:val="0"/>
        </w:numPr>
        <w:snapToGrid w:val="0"/>
        <w:rPr>
          <w:sz w:val="20"/>
          <w:szCs w:val="20"/>
          <w:lang w:val="en-GB"/>
        </w:rPr>
      </w:pPr>
    </w:p>
    <w:p w14:paraId="5B7BA03A" w14:textId="77777777" w:rsidR="00646595" w:rsidRDefault="00646595">
      <w:pPr>
        <w:snapToGrid w:val="0"/>
        <w:jc w:val="center"/>
        <w:rPr>
          <w:rFonts w:ascii="Times New Roman" w:eastAsia="宋体" w:hAnsi="Times New Roman"/>
          <w:sz w:val="20"/>
          <w:szCs w:val="20"/>
        </w:rPr>
      </w:pPr>
    </w:p>
    <w:p w14:paraId="30BEBA32" w14:textId="77777777" w:rsidR="00646595" w:rsidRDefault="00646595">
      <w:pPr>
        <w:snapToGrid w:val="0"/>
        <w:spacing w:beforeLines="50" w:before="180" w:afterLines="50" w:after="180" w:line="240" w:lineRule="auto"/>
        <w:jc w:val="both"/>
        <w:rPr>
          <w:rFonts w:ascii="Times New Roman" w:hAnsi="Times New Roman"/>
          <w:sz w:val="20"/>
          <w:szCs w:val="20"/>
          <w:lang w:val="en-GB"/>
        </w:rPr>
      </w:pPr>
    </w:p>
    <w:sectPr w:rsidR="00646595">
      <w:footerReference w:type="default" r:id="rId2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F5BEF" w14:textId="77777777" w:rsidR="00FF5E9B" w:rsidRDefault="00FF5E9B">
      <w:pPr>
        <w:spacing w:after="0" w:line="240" w:lineRule="auto"/>
      </w:pPr>
      <w:r>
        <w:separator/>
      </w:r>
    </w:p>
  </w:endnote>
  <w:endnote w:type="continuationSeparator" w:id="0">
    <w:p w14:paraId="47E8C5C0" w14:textId="77777777" w:rsidR="00FF5E9B" w:rsidRDefault="00FF5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Gulim">
    <w:panose1 w:val="020B0600000101010101"/>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5A3E8E90" w14:textId="77777777" w:rsidR="00646595" w:rsidRDefault="00FF5E9B">
        <w:pPr>
          <w:pStyle w:val="Footer"/>
          <w:jc w:val="center"/>
        </w:pPr>
        <w:r>
          <w:fldChar w:fldCharType="begin"/>
        </w:r>
        <w:r>
          <w:instrText xml:space="preserve"> PAGE   \* MERGEFORMAT </w:instrText>
        </w:r>
        <w:r>
          <w:fldChar w:fldCharType="separate"/>
        </w:r>
        <w:r w:rsidR="00D80CEE" w:rsidRPr="00D80CEE">
          <w:rPr>
            <w:noProof/>
            <w:lang w:val="zh-CN"/>
          </w:rPr>
          <w:t>1</w:t>
        </w:r>
        <w:r>
          <w:rPr>
            <w:lang w:val="zh-CN"/>
          </w:rPr>
          <w:fldChar w:fldCharType="end"/>
        </w:r>
      </w:p>
    </w:sdtContent>
  </w:sdt>
  <w:p w14:paraId="2CF02233" w14:textId="77777777" w:rsidR="00646595" w:rsidRDefault="0064659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FBE53" w14:textId="77777777" w:rsidR="00FF5E9B" w:rsidRDefault="00FF5E9B">
      <w:pPr>
        <w:spacing w:after="0" w:line="240" w:lineRule="auto"/>
      </w:pPr>
      <w:r>
        <w:separator/>
      </w:r>
    </w:p>
  </w:footnote>
  <w:footnote w:type="continuationSeparator" w:id="0">
    <w:p w14:paraId="50AA291F" w14:textId="77777777" w:rsidR="00FF5E9B" w:rsidRDefault="00FF5E9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001"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nsid w:val="5C6142E5"/>
    <w:multiLevelType w:val="singleLevel"/>
    <w:tmpl w:val="5C6142E5"/>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6E2C"/>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D7E"/>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9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595"/>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AD2"/>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675"/>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6CD"/>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17A"/>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ED6"/>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A11"/>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CEE"/>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5E9B"/>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51257"/>
    <w:rsid w:val="0196778C"/>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243E6"/>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73E72"/>
    <w:rsid w:val="03826E5C"/>
    <w:rsid w:val="03892991"/>
    <w:rsid w:val="03895569"/>
    <w:rsid w:val="038C02EB"/>
    <w:rsid w:val="038E2E18"/>
    <w:rsid w:val="038F1DC9"/>
    <w:rsid w:val="039545AE"/>
    <w:rsid w:val="03995C8A"/>
    <w:rsid w:val="03AD0569"/>
    <w:rsid w:val="03B640CE"/>
    <w:rsid w:val="03BA4249"/>
    <w:rsid w:val="03C517BD"/>
    <w:rsid w:val="03C5452E"/>
    <w:rsid w:val="03C74561"/>
    <w:rsid w:val="03CE5373"/>
    <w:rsid w:val="03D11A1D"/>
    <w:rsid w:val="03D17B55"/>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9770A"/>
    <w:rsid w:val="04FC5709"/>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420F"/>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90D1E"/>
    <w:rsid w:val="074D0D08"/>
    <w:rsid w:val="075453F9"/>
    <w:rsid w:val="075B498A"/>
    <w:rsid w:val="0764669C"/>
    <w:rsid w:val="07654F7A"/>
    <w:rsid w:val="07662B3F"/>
    <w:rsid w:val="07677EC5"/>
    <w:rsid w:val="076816D4"/>
    <w:rsid w:val="076C04AB"/>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3D690F"/>
    <w:rsid w:val="08416468"/>
    <w:rsid w:val="084216D3"/>
    <w:rsid w:val="084518E0"/>
    <w:rsid w:val="08456538"/>
    <w:rsid w:val="084B02CC"/>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8584A"/>
    <w:rsid w:val="09493002"/>
    <w:rsid w:val="094C661F"/>
    <w:rsid w:val="094E0A67"/>
    <w:rsid w:val="09597734"/>
    <w:rsid w:val="09636547"/>
    <w:rsid w:val="096C4215"/>
    <w:rsid w:val="096C74FF"/>
    <w:rsid w:val="096D2532"/>
    <w:rsid w:val="096E4B93"/>
    <w:rsid w:val="096E4D5C"/>
    <w:rsid w:val="0978669A"/>
    <w:rsid w:val="098147F0"/>
    <w:rsid w:val="098A3FEF"/>
    <w:rsid w:val="098F49D9"/>
    <w:rsid w:val="09A1176D"/>
    <w:rsid w:val="09A211FD"/>
    <w:rsid w:val="09A33D5F"/>
    <w:rsid w:val="09A405FC"/>
    <w:rsid w:val="09A43D4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A3FDB"/>
    <w:rsid w:val="0BE879AE"/>
    <w:rsid w:val="0BEC24ED"/>
    <w:rsid w:val="0BED5C90"/>
    <w:rsid w:val="0BF54038"/>
    <w:rsid w:val="0BFD46D3"/>
    <w:rsid w:val="0C0110FB"/>
    <w:rsid w:val="0C055D2C"/>
    <w:rsid w:val="0C1232A8"/>
    <w:rsid w:val="0C1B0491"/>
    <w:rsid w:val="0C1B4521"/>
    <w:rsid w:val="0C2343CE"/>
    <w:rsid w:val="0C28198E"/>
    <w:rsid w:val="0C287ECF"/>
    <w:rsid w:val="0C293F71"/>
    <w:rsid w:val="0C2E6FB6"/>
    <w:rsid w:val="0C304B08"/>
    <w:rsid w:val="0C323823"/>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453BAD"/>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A2328"/>
    <w:rsid w:val="0E594261"/>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35CBD"/>
    <w:rsid w:val="0EFD2CC2"/>
    <w:rsid w:val="0EFF0213"/>
    <w:rsid w:val="0F006E4B"/>
    <w:rsid w:val="0F0555EE"/>
    <w:rsid w:val="0F0A399D"/>
    <w:rsid w:val="0F0B1157"/>
    <w:rsid w:val="0F124DFB"/>
    <w:rsid w:val="0F2566D6"/>
    <w:rsid w:val="0F3058F0"/>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42C5E"/>
    <w:rsid w:val="109B3B87"/>
    <w:rsid w:val="10A556D8"/>
    <w:rsid w:val="10A63EFB"/>
    <w:rsid w:val="10AB4D0E"/>
    <w:rsid w:val="10BD4626"/>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37416"/>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B659D"/>
    <w:rsid w:val="124C349B"/>
    <w:rsid w:val="12514D1C"/>
    <w:rsid w:val="12540DA1"/>
    <w:rsid w:val="125B084E"/>
    <w:rsid w:val="12633CB9"/>
    <w:rsid w:val="12642649"/>
    <w:rsid w:val="12643DE4"/>
    <w:rsid w:val="126D57FF"/>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DF51C5"/>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2E162C"/>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507BA"/>
    <w:rsid w:val="147C4CAE"/>
    <w:rsid w:val="147C57D7"/>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63F80"/>
    <w:rsid w:val="14FA4CD9"/>
    <w:rsid w:val="14FB5F43"/>
    <w:rsid w:val="15023202"/>
    <w:rsid w:val="15100FA6"/>
    <w:rsid w:val="1513479B"/>
    <w:rsid w:val="151D2BFF"/>
    <w:rsid w:val="151F6DBF"/>
    <w:rsid w:val="1523711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1E1AD8"/>
    <w:rsid w:val="16223FCC"/>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D80C3B"/>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553CC"/>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41F98"/>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90D16"/>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45EC6"/>
    <w:rsid w:val="19BA5E3A"/>
    <w:rsid w:val="19BC434C"/>
    <w:rsid w:val="19BF6811"/>
    <w:rsid w:val="19C22095"/>
    <w:rsid w:val="19CB0EFE"/>
    <w:rsid w:val="19D83EBC"/>
    <w:rsid w:val="19DC2EF0"/>
    <w:rsid w:val="19E01BE1"/>
    <w:rsid w:val="19E27436"/>
    <w:rsid w:val="19E90F2D"/>
    <w:rsid w:val="19EA250B"/>
    <w:rsid w:val="19ED7B68"/>
    <w:rsid w:val="19EE122F"/>
    <w:rsid w:val="19EF05E2"/>
    <w:rsid w:val="19F34D9A"/>
    <w:rsid w:val="19FA5943"/>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71279"/>
    <w:rsid w:val="1A7412A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3134A"/>
    <w:rsid w:val="1AC41324"/>
    <w:rsid w:val="1ACF3E37"/>
    <w:rsid w:val="1AD0751C"/>
    <w:rsid w:val="1AD077D2"/>
    <w:rsid w:val="1AD24EB0"/>
    <w:rsid w:val="1AD54713"/>
    <w:rsid w:val="1AD610E7"/>
    <w:rsid w:val="1ADE5B96"/>
    <w:rsid w:val="1AE82C66"/>
    <w:rsid w:val="1AEB591C"/>
    <w:rsid w:val="1AED0842"/>
    <w:rsid w:val="1AED74F6"/>
    <w:rsid w:val="1AF879A4"/>
    <w:rsid w:val="1AFC74CB"/>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00971"/>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93DEE"/>
    <w:rsid w:val="1D6A6450"/>
    <w:rsid w:val="1D6C52DC"/>
    <w:rsid w:val="1D6C751F"/>
    <w:rsid w:val="1D70796F"/>
    <w:rsid w:val="1D7917EF"/>
    <w:rsid w:val="1D7C09D6"/>
    <w:rsid w:val="1D7C7BD0"/>
    <w:rsid w:val="1D7D4C76"/>
    <w:rsid w:val="1D7F1235"/>
    <w:rsid w:val="1D855F2F"/>
    <w:rsid w:val="1D8F18F8"/>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668DD"/>
    <w:rsid w:val="1EA96187"/>
    <w:rsid w:val="1EAD4715"/>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55E7F"/>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033F5"/>
    <w:rsid w:val="20072690"/>
    <w:rsid w:val="20074038"/>
    <w:rsid w:val="200A762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50682"/>
    <w:rsid w:val="2196788C"/>
    <w:rsid w:val="219B271D"/>
    <w:rsid w:val="219E3E3D"/>
    <w:rsid w:val="219F16C7"/>
    <w:rsid w:val="21A96958"/>
    <w:rsid w:val="21AB075D"/>
    <w:rsid w:val="21AC0E6A"/>
    <w:rsid w:val="21B34081"/>
    <w:rsid w:val="21B76CF4"/>
    <w:rsid w:val="21BC401D"/>
    <w:rsid w:val="21BF1C5A"/>
    <w:rsid w:val="21CC7D65"/>
    <w:rsid w:val="21CE5A08"/>
    <w:rsid w:val="21D42622"/>
    <w:rsid w:val="21D51DF1"/>
    <w:rsid w:val="21DC4656"/>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57061"/>
    <w:rsid w:val="22583396"/>
    <w:rsid w:val="22633C26"/>
    <w:rsid w:val="22663911"/>
    <w:rsid w:val="226A1DE5"/>
    <w:rsid w:val="226D0C21"/>
    <w:rsid w:val="226F2BB2"/>
    <w:rsid w:val="22721973"/>
    <w:rsid w:val="22721E20"/>
    <w:rsid w:val="22796A25"/>
    <w:rsid w:val="22882272"/>
    <w:rsid w:val="229F5B62"/>
    <w:rsid w:val="22A470B5"/>
    <w:rsid w:val="22AC6B16"/>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76603"/>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03F17"/>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7043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D03D3D"/>
    <w:rsid w:val="25D242AC"/>
    <w:rsid w:val="25D2700D"/>
    <w:rsid w:val="25D37D50"/>
    <w:rsid w:val="25D4327A"/>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9D43C2"/>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E1BFF"/>
    <w:rsid w:val="27E44357"/>
    <w:rsid w:val="27E766A7"/>
    <w:rsid w:val="27EA32D3"/>
    <w:rsid w:val="27F22F77"/>
    <w:rsid w:val="27F34EE4"/>
    <w:rsid w:val="27F75AC8"/>
    <w:rsid w:val="27F9211D"/>
    <w:rsid w:val="27FE07F9"/>
    <w:rsid w:val="280043D0"/>
    <w:rsid w:val="280B0675"/>
    <w:rsid w:val="280E125B"/>
    <w:rsid w:val="280F0B82"/>
    <w:rsid w:val="28214635"/>
    <w:rsid w:val="282928B7"/>
    <w:rsid w:val="28296666"/>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C8733F"/>
    <w:rsid w:val="28D217AA"/>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D2974"/>
    <w:rsid w:val="292E488D"/>
    <w:rsid w:val="2932177F"/>
    <w:rsid w:val="29362D60"/>
    <w:rsid w:val="293B4237"/>
    <w:rsid w:val="293B6623"/>
    <w:rsid w:val="293C4A53"/>
    <w:rsid w:val="294438A1"/>
    <w:rsid w:val="29473510"/>
    <w:rsid w:val="29473AA4"/>
    <w:rsid w:val="294C3727"/>
    <w:rsid w:val="294F67CF"/>
    <w:rsid w:val="295072ED"/>
    <w:rsid w:val="29516A9C"/>
    <w:rsid w:val="29521310"/>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A686E"/>
    <w:rsid w:val="29BD4006"/>
    <w:rsid w:val="29BF0A4A"/>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A1B22"/>
    <w:rsid w:val="2A3B3E69"/>
    <w:rsid w:val="2A3F15E1"/>
    <w:rsid w:val="2A451545"/>
    <w:rsid w:val="2A467378"/>
    <w:rsid w:val="2A4705EA"/>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DA15AC"/>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B32173"/>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9B47AE"/>
    <w:rsid w:val="2EA23EF2"/>
    <w:rsid w:val="2EA469A3"/>
    <w:rsid w:val="2EAA5EA7"/>
    <w:rsid w:val="2EAE08A6"/>
    <w:rsid w:val="2EB15D4B"/>
    <w:rsid w:val="2EC517B2"/>
    <w:rsid w:val="2EC53E6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370668"/>
    <w:rsid w:val="2F3D200F"/>
    <w:rsid w:val="2F402D6C"/>
    <w:rsid w:val="2F4575D0"/>
    <w:rsid w:val="2F495570"/>
    <w:rsid w:val="2F4E4C44"/>
    <w:rsid w:val="2F4F2BD8"/>
    <w:rsid w:val="2F540F4D"/>
    <w:rsid w:val="2F6051BD"/>
    <w:rsid w:val="2F6F5B99"/>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376AD"/>
    <w:rsid w:val="2FD73D5F"/>
    <w:rsid w:val="2FDB432B"/>
    <w:rsid w:val="2FDC6B98"/>
    <w:rsid w:val="2FDE7B08"/>
    <w:rsid w:val="2FDF68B6"/>
    <w:rsid w:val="2FE465CC"/>
    <w:rsid w:val="2FED56B0"/>
    <w:rsid w:val="2FF657DC"/>
    <w:rsid w:val="2FFB7225"/>
    <w:rsid w:val="300255C6"/>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846BF8"/>
    <w:rsid w:val="30877FBB"/>
    <w:rsid w:val="30910176"/>
    <w:rsid w:val="309444DE"/>
    <w:rsid w:val="309D2147"/>
    <w:rsid w:val="30A85C99"/>
    <w:rsid w:val="30AA4130"/>
    <w:rsid w:val="30AB47C5"/>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A20C5"/>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06A85"/>
    <w:rsid w:val="31F329DC"/>
    <w:rsid w:val="31F56DF0"/>
    <w:rsid w:val="31F97DDD"/>
    <w:rsid w:val="32001F8B"/>
    <w:rsid w:val="32044B56"/>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75977"/>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3B65E7"/>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607C9"/>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1380F"/>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C0DB0"/>
    <w:rsid w:val="354F22C4"/>
    <w:rsid w:val="3552267E"/>
    <w:rsid w:val="35580193"/>
    <w:rsid w:val="355A5E02"/>
    <w:rsid w:val="35645D84"/>
    <w:rsid w:val="35675BE6"/>
    <w:rsid w:val="356E5A0B"/>
    <w:rsid w:val="357706DE"/>
    <w:rsid w:val="35831908"/>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064FBA"/>
    <w:rsid w:val="3614405A"/>
    <w:rsid w:val="3615173C"/>
    <w:rsid w:val="3619343A"/>
    <w:rsid w:val="36196E2D"/>
    <w:rsid w:val="361E5F79"/>
    <w:rsid w:val="36255FE7"/>
    <w:rsid w:val="362859A8"/>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71919"/>
    <w:rsid w:val="368D0336"/>
    <w:rsid w:val="369E16D7"/>
    <w:rsid w:val="36B15850"/>
    <w:rsid w:val="36B46738"/>
    <w:rsid w:val="36B969ED"/>
    <w:rsid w:val="36BE11DF"/>
    <w:rsid w:val="36BF09FB"/>
    <w:rsid w:val="36C276D2"/>
    <w:rsid w:val="36C35683"/>
    <w:rsid w:val="36D5244B"/>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94599E"/>
    <w:rsid w:val="37A24258"/>
    <w:rsid w:val="37A36539"/>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0A315B"/>
    <w:rsid w:val="38114349"/>
    <w:rsid w:val="38117674"/>
    <w:rsid w:val="3812501F"/>
    <w:rsid w:val="38160CEE"/>
    <w:rsid w:val="381A2672"/>
    <w:rsid w:val="381F275F"/>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92A9A"/>
    <w:rsid w:val="38BA5014"/>
    <w:rsid w:val="38BA672D"/>
    <w:rsid w:val="38BF41E4"/>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8E5599"/>
    <w:rsid w:val="3A9A07D3"/>
    <w:rsid w:val="3A9C50AA"/>
    <w:rsid w:val="3AA312D0"/>
    <w:rsid w:val="3AAD2322"/>
    <w:rsid w:val="3AB06715"/>
    <w:rsid w:val="3AC351F1"/>
    <w:rsid w:val="3ACB36E9"/>
    <w:rsid w:val="3ACB7871"/>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72331"/>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DE6019"/>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A0B42"/>
    <w:rsid w:val="416C1A09"/>
    <w:rsid w:val="417769F6"/>
    <w:rsid w:val="41803DA8"/>
    <w:rsid w:val="418436CE"/>
    <w:rsid w:val="418631C6"/>
    <w:rsid w:val="41872ED0"/>
    <w:rsid w:val="418D5808"/>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F16692"/>
    <w:rsid w:val="41FA376E"/>
    <w:rsid w:val="41FE6CB2"/>
    <w:rsid w:val="420556C8"/>
    <w:rsid w:val="4214720F"/>
    <w:rsid w:val="4215698E"/>
    <w:rsid w:val="421576E7"/>
    <w:rsid w:val="4217488D"/>
    <w:rsid w:val="421A364B"/>
    <w:rsid w:val="421D7B36"/>
    <w:rsid w:val="422345EF"/>
    <w:rsid w:val="42240668"/>
    <w:rsid w:val="422A1E24"/>
    <w:rsid w:val="422E486B"/>
    <w:rsid w:val="42322EE5"/>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61338"/>
    <w:rsid w:val="42B75E2D"/>
    <w:rsid w:val="42B90AAB"/>
    <w:rsid w:val="42C5009E"/>
    <w:rsid w:val="42C92A69"/>
    <w:rsid w:val="42CB7D59"/>
    <w:rsid w:val="42D604C8"/>
    <w:rsid w:val="42DF35C8"/>
    <w:rsid w:val="42E36698"/>
    <w:rsid w:val="42E9081C"/>
    <w:rsid w:val="42EF0CCD"/>
    <w:rsid w:val="42F1490F"/>
    <w:rsid w:val="42F25520"/>
    <w:rsid w:val="42FA52E0"/>
    <w:rsid w:val="430D0405"/>
    <w:rsid w:val="4312542E"/>
    <w:rsid w:val="431417E6"/>
    <w:rsid w:val="431B56A6"/>
    <w:rsid w:val="43206F9C"/>
    <w:rsid w:val="433429FE"/>
    <w:rsid w:val="4334351A"/>
    <w:rsid w:val="43353730"/>
    <w:rsid w:val="43396575"/>
    <w:rsid w:val="43401019"/>
    <w:rsid w:val="4351273E"/>
    <w:rsid w:val="4351304C"/>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06AD"/>
    <w:rsid w:val="44792B7D"/>
    <w:rsid w:val="447D13CB"/>
    <w:rsid w:val="44811DFB"/>
    <w:rsid w:val="44916D6F"/>
    <w:rsid w:val="44934238"/>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454F3E"/>
    <w:rsid w:val="464B3947"/>
    <w:rsid w:val="46510D25"/>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8054D"/>
    <w:rsid w:val="46B861B8"/>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BB47B7"/>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D4F56"/>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64F1A"/>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9179C"/>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84A"/>
    <w:rsid w:val="4D4E1B73"/>
    <w:rsid w:val="4D5545A3"/>
    <w:rsid w:val="4D56242D"/>
    <w:rsid w:val="4D5742F7"/>
    <w:rsid w:val="4D5E313C"/>
    <w:rsid w:val="4D63794E"/>
    <w:rsid w:val="4D6617DF"/>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6F63DC"/>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41154"/>
    <w:rsid w:val="4ED765C7"/>
    <w:rsid w:val="4ED77782"/>
    <w:rsid w:val="4EDF16FC"/>
    <w:rsid w:val="4EEA0EBA"/>
    <w:rsid w:val="4EEC45A6"/>
    <w:rsid w:val="4EED1C0E"/>
    <w:rsid w:val="4EED6A77"/>
    <w:rsid w:val="4EEE7018"/>
    <w:rsid w:val="4EF824C8"/>
    <w:rsid w:val="4EF86446"/>
    <w:rsid w:val="4F0536FA"/>
    <w:rsid w:val="4F0F7DBC"/>
    <w:rsid w:val="4F1003A1"/>
    <w:rsid w:val="4F13577D"/>
    <w:rsid w:val="4F1A0622"/>
    <w:rsid w:val="4F1C158E"/>
    <w:rsid w:val="4F1E4099"/>
    <w:rsid w:val="4F1E74EE"/>
    <w:rsid w:val="4F222296"/>
    <w:rsid w:val="4F242A2C"/>
    <w:rsid w:val="4F242CA2"/>
    <w:rsid w:val="4F2D398B"/>
    <w:rsid w:val="4F312150"/>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729C6"/>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2D361C"/>
    <w:rsid w:val="5034215C"/>
    <w:rsid w:val="503A6544"/>
    <w:rsid w:val="503C53AC"/>
    <w:rsid w:val="5046799C"/>
    <w:rsid w:val="504B0A65"/>
    <w:rsid w:val="5050196C"/>
    <w:rsid w:val="505231E4"/>
    <w:rsid w:val="50535CB7"/>
    <w:rsid w:val="505A42A1"/>
    <w:rsid w:val="505B684C"/>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40C12"/>
    <w:rsid w:val="50E56C08"/>
    <w:rsid w:val="50EC29BF"/>
    <w:rsid w:val="50F26C11"/>
    <w:rsid w:val="50F67EBD"/>
    <w:rsid w:val="510346A0"/>
    <w:rsid w:val="511462DE"/>
    <w:rsid w:val="511934F5"/>
    <w:rsid w:val="511A650A"/>
    <w:rsid w:val="511D39C8"/>
    <w:rsid w:val="51205F70"/>
    <w:rsid w:val="51211654"/>
    <w:rsid w:val="512D7FCC"/>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226E4"/>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9565B"/>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2E5FF9"/>
    <w:rsid w:val="54332FCB"/>
    <w:rsid w:val="54372B10"/>
    <w:rsid w:val="543966E9"/>
    <w:rsid w:val="543C5229"/>
    <w:rsid w:val="54412BF0"/>
    <w:rsid w:val="54422EDA"/>
    <w:rsid w:val="544417C9"/>
    <w:rsid w:val="54475EA1"/>
    <w:rsid w:val="54514458"/>
    <w:rsid w:val="545F158C"/>
    <w:rsid w:val="546A78D3"/>
    <w:rsid w:val="54767E31"/>
    <w:rsid w:val="54781903"/>
    <w:rsid w:val="54830D4F"/>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E0538"/>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90685"/>
    <w:rsid w:val="560B1611"/>
    <w:rsid w:val="561117B5"/>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6577A"/>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956AE"/>
    <w:rsid w:val="57AD63CA"/>
    <w:rsid w:val="57B12D5D"/>
    <w:rsid w:val="57B55AA5"/>
    <w:rsid w:val="57BF4BA2"/>
    <w:rsid w:val="57C0641D"/>
    <w:rsid w:val="57C648C9"/>
    <w:rsid w:val="57C931DC"/>
    <w:rsid w:val="57D20BE2"/>
    <w:rsid w:val="57D35A44"/>
    <w:rsid w:val="57D5434D"/>
    <w:rsid w:val="57E36625"/>
    <w:rsid w:val="57F4119B"/>
    <w:rsid w:val="57F85B18"/>
    <w:rsid w:val="57F90575"/>
    <w:rsid w:val="57FA183A"/>
    <w:rsid w:val="57FE3336"/>
    <w:rsid w:val="580014A4"/>
    <w:rsid w:val="5809397E"/>
    <w:rsid w:val="580E43B2"/>
    <w:rsid w:val="58127039"/>
    <w:rsid w:val="58171D79"/>
    <w:rsid w:val="581C076D"/>
    <w:rsid w:val="58222FD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75D05"/>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2A6839"/>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2CE8"/>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45E91"/>
    <w:rsid w:val="5A464D3F"/>
    <w:rsid w:val="5A465251"/>
    <w:rsid w:val="5A474346"/>
    <w:rsid w:val="5A484453"/>
    <w:rsid w:val="5A4957FA"/>
    <w:rsid w:val="5A5128B7"/>
    <w:rsid w:val="5A622269"/>
    <w:rsid w:val="5A6C627E"/>
    <w:rsid w:val="5A7E727D"/>
    <w:rsid w:val="5A7F6ABA"/>
    <w:rsid w:val="5A804900"/>
    <w:rsid w:val="5A822B02"/>
    <w:rsid w:val="5A8544A5"/>
    <w:rsid w:val="5A86511B"/>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C65C6"/>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B73C4"/>
    <w:rsid w:val="5BAE17A2"/>
    <w:rsid w:val="5BAF0D57"/>
    <w:rsid w:val="5BB32A6C"/>
    <w:rsid w:val="5BB667F9"/>
    <w:rsid w:val="5BBC3894"/>
    <w:rsid w:val="5BBC7CD9"/>
    <w:rsid w:val="5BC207F8"/>
    <w:rsid w:val="5BC723A4"/>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52F02"/>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DFF3B87"/>
    <w:rsid w:val="5E034523"/>
    <w:rsid w:val="5E090D92"/>
    <w:rsid w:val="5E0F732F"/>
    <w:rsid w:val="5E146038"/>
    <w:rsid w:val="5E177072"/>
    <w:rsid w:val="5E2D2F8F"/>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16601"/>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C7243F"/>
    <w:rsid w:val="5FCE52A8"/>
    <w:rsid w:val="5FD7706A"/>
    <w:rsid w:val="5FDB4F3D"/>
    <w:rsid w:val="5FE10819"/>
    <w:rsid w:val="5FE30BA2"/>
    <w:rsid w:val="5FF85070"/>
    <w:rsid w:val="60006973"/>
    <w:rsid w:val="6007124A"/>
    <w:rsid w:val="6007496A"/>
    <w:rsid w:val="600870EA"/>
    <w:rsid w:val="600B4871"/>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84273"/>
    <w:rsid w:val="608A3E41"/>
    <w:rsid w:val="608B6649"/>
    <w:rsid w:val="60990BD7"/>
    <w:rsid w:val="609D4C24"/>
    <w:rsid w:val="60A20F88"/>
    <w:rsid w:val="60A3504C"/>
    <w:rsid w:val="60AB2669"/>
    <w:rsid w:val="60B735D2"/>
    <w:rsid w:val="60B90CB5"/>
    <w:rsid w:val="60C31A2D"/>
    <w:rsid w:val="60C44D7F"/>
    <w:rsid w:val="60CF74B2"/>
    <w:rsid w:val="60D43EEA"/>
    <w:rsid w:val="60D46E93"/>
    <w:rsid w:val="60D56F54"/>
    <w:rsid w:val="60D640BA"/>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65727"/>
    <w:rsid w:val="61996EAB"/>
    <w:rsid w:val="619A086F"/>
    <w:rsid w:val="619F7ACD"/>
    <w:rsid w:val="61AA52DF"/>
    <w:rsid w:val="61AC2470"/>
    <w:rsid w:val="61B87573"/>
    <w:rsid w:val="61BF5E66"/>
    <w:rsid w:val="61C041DC"/>
    <w:rsid w:val="61C33C28"/>
    <w:rsid w:val="61C443CD"/>
    <w:rsid w:val="61C91364"/>
    <w:rsid w:val="61D034C4"/>
    <w:rsid w:val="61E069EE"/>
    <w:rsid w:val="61E363D8"/>
    <w:rsid w:val="61E83ED6"/>
    <w:rsid w:val="61F10F65"/>
    <w:rsid w:val="61FD3DC4"/>
    <w:rsid w:val="61FD40B8"/>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0717"/>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A6459"/>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3542F"/>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AF762F"/>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315D3"/>
    <w:rsid w:val="684D72F1"/>
    <w:rsid w:val="68523980"/>
    <w:rsid w:val="68546D8A"/>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CD10EC"/>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D7584"/>
    <w:rsid w:val="6A7F0232"/>
    <w:rsid w:val="6A8433D2"/>
    <w:rsid w:val="6A863926"/>
    <w:rsid w:val="6A877233"/>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976CE"/>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82150B"/>
    <w:rsid w:val="6C8846F8"/>
    <w:rsid w:val="6C88786E"/>
    <w:rsid w:val="6C930994"/>
    <w:rsid w:val="6C9671CF"/>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A6951"/>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0545"/>
    <w:rsid w:val="6E2F1A84"/>
    <w:rsid w:val="6E355C99"/>
    <w:rsid w:val="6E39484D"/>
    <w:rsid w:val="6E3D153A"/>
    <w:rsid w:val="6E3D457A"/>
    <w:rsid w:val="6E42444B"/>
    <w:rsid w:val="6E471FA2"/>
    <w:rsid w:val="6E4F73BE"/>
    <w:rsid w:val="6E56438B"/>
    <w:rsid w:val="6E566306"/>
    <w:rsid w:val="6E5F35B7"/>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DB6844"/>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03A2D"/>
    <w:rsid w:val="70C14F6B"/>
    <w:rsid w:val="70C17302"/>
    <w:rsid w:val="70CD0CF0"/>
    <w:rsid w:val="70D32EE1"/>
    <w:rsid w:val="70DA2493"/>
    <w:rsid w:val="70DC4BC5"/>
    <w:rsid w:val="70EB329E"/>
    <w:rsid w:val="70F22DF6"/>
    <w:rsid w:val="70F44FD9"/>
    <w:rsid w:val="70F554C4"/>
    <w:rsid w:val="70F640FE"/>
    <w:rsid w:val="70FB4E51"/>
    <w:rsid w:val="71011C6D"/>
    <w:rsid w:val="710606EF"/>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3F34"/>
    <w:rsid w:val="72C82B91"/>
    <w:rsid w:val="72C83A64"/>
    <w:rsid w:val="72C87A6B"/>
    <w:rsid w:val="72CA0320"/>
    <w:rsid w:val="72D04006"/>
    <w:rsid w:val="72D10367"/>
    <w:rsid w:val="72D21E54"/>
    <w:rsid w:val="72D34AA4"/>
    <w:rsid w:val="72D97928"/>
    <w:rsid w:val="72E31D99"/>
    <w:rsid w:val="72E34F8F"/>
    <w:rsid w:val="72F32BA1"/>
    <w:rsid w:val="7301303C"/>
    <w:rsid w:val="73024E04"/>
    <w:rsid w:val="730B0185"/>
    <w:rsid w:val="730B2912"/>
    <w:rsid w:val="73117F42"/>
    <w:rsid w:val="73166B31"/>
    <w:rsid w:val="731A08E9"/>
    <w:rsid w:val="73234EDB"/>
    <w:rsid w:val="73266F63"/>
    <w:rsid w:val="732A69D2"/>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1270C"/>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62FE"/>
    <w:rsid w:val="74957A0A"/>
    <w:rsid w:val="74A83DF8"/>
    <w:rsid w:val="74AF19B2"/>
    <w:rsid w:val="74B33364"/>
    <w:rsid w:val="74B962D7"/>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B5256"/>
    <w:rsid w:val="75B05DB1"/>
    <w:rsid w:val="75B43531"/>
    <w:rsid w:val="75B54E5D"/>
    <w:rsid w:val="75B81072"/>
    <w:rsid w:val="75B921DA"/>
    <w:rsid w:val="75B933FE"/>
    <w:rsid w:val="75B96690"/>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1027E"/>
    <w:rsid w:val="76475B71"/>
    <w:rsid w:val="764833C3"/>
    <w:rsid w:val="764B7C87"/>
    <w:rsid w:val="765233FB"/>
    <w:rsid w:val="76573A47"/>
    <w:rsid w:val="7659095E"/>
    <w:rsid w:val="765A2E54"/>
    <w:rsid w:val="765C20F6"/>
    <w:rsid w:val="766B3DFC"/>
    <w:rsid w:val="76710E80"/>
    <w:rsid w:val="767E302B"/>
    <w:rsid w:val="76834560"/>
    <w:rsid w:val="76860741"/>
    <w:rsid w:val="76895AF9"/>
    <w:rsid w:val="769016B8"/>
    <w:rsid w:val="76932345"/>
    <w:rsid w:val="76A5622D"/>
    <w:rsid w:val="76A633ED"/>
    <w:rsid w:val="76AB5F51"/>
    <w:rsid w:val="76B02504"/>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6601D"/>
    <w:rsid w:val="77BB391E"/>
    <w:rsid w:val="77BF2226"/>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1500F"/>
    <w:rsid w:val="7812520C"/>
    <w:rsid w:val="781D006F"/>
    <w:rsid w:val="78213084"/>
    <w:rsid w:val="78213648"/>
    <w:rsid w:val="78264079"/>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4DA"/>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83908"/>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DF711C"/>
    <w:rsid w:val="79ED6250"/>
    <w:rsid w:val="79F000FA"/>
    <w:rsid w:val="79F02DBF"/>
    <w:rsid w:val="79F213AE"/>
    <w:rsid w:val="79F778C7"/>
    <w:rsid w:val="79FD0561"/>
    <w:rsid w:val="79FE51D4"/>
    <w:rsid w:val="7A032AFE"/>
    <w:rsid w:val="7A040ABA"/>
    <w:rsid w:val="7A0419AF"/>
    <w:rsid w:val="7A093FB4"/>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9391E"/>
    <w:rsid w:val="7B4B4A95"/>
    <w:rsid w:val="7B592DDD"/>
    <w:rsid w:val="7B5B06E6"/>
    <w:rsid w:val="7B61362C"/>
    <w:rsid w:val="7B621F63"/>
    <w:rsid w:val="7B666080"/>
    <w:rsid w:val="7B7263B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5D3DC8"/>
    <w:rsid w:val="7C690B7A"/>
    <w:rsid w:val="7C6D473C"/>
    <w:rsid w:val="7C6F0C97"/>
    <w:rsid w:val="7C7147EA"/>
    <w:rsid w:val="7C7C3178"/>
    <w:rsid w:val="7C8505B4"/>
    <w:rsid w:val="7C8B4BD5"/>
    <w:rsid w:val="7C997B87"/>
    <w:rsid w:val="7CA06A8F"/>
    <w:rsid w:val="7CA63126"/>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1A47"/>
    <w:rsid w:val="7CF82FD7"/>
    <w:rsid w:val="7CF8310B"/>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44593A"/>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EC31D0"/>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D6743"/>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6092C"/>
    <w:rsid w:val="7FD94D25"/>
    <w:rsid w:val="7FDD1879"/>
    <w:rsid w:val="7FDD2760"/>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44BE8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ind w:left="575"/>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eastAsia="宋体"/>
      <w:sz w:val="22"/>
      <w:szCs w:val="22"/>
      <w:lang w:val="en-US"/>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emf"/><Relationship Id="rId12" Type="http://schemas.openxmlformats.org/officeDocument/2006/relationships/image" Target="media/image3.emf"/><Relationship Id="rId13" Type="http://schemas.openxmlformats.org/officeDocument/2006/relationships/image" Target="media/image4.emf"/><Relationship Id="rId14" Type="http://schemas.openxmlformats.org/officeDocument/2006/relationships/oleObject" Target="embeddings/oleObject2.bin"/><Relationship Id="rId15" Type="http://schemas.openxmlformats.org/officeDocument/2006/relationships/image" Target="media/image5.jpeg"/><Relationship Id="rId16" Type="http://schemas.openxmlformats.org/officeDocument/2006/relationships/image" Target="media/image6.emf"/><Relationship Id="rId17" Type="http://schemas.openxmlformats.org/officeDocument/2006/relationships/oleObject" Target="embeddings/oleObject3.bin"/><Relationship Id="rId18" Type="http://schemas.openxmlformats.org/officeDocument/2006/relationships/image" Target="media/image7.emf"/><Relationship Id="rId19" Type="http://schemas.openxmlformats.org/officeDocument/2006/relationships/oleObject" Target="embeddings/oleObject4.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23674-CB47-3B42-A2D5-7BF24077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2370</Words>
  <Characters>12162</Characters>
  <Application>Microsoft Macintosh Word</Application>
  <DocSecurity>0</DocSecurity>
  <Lines>552</Lines>
  <Paragraphs>274</Paragraphs>
  <ScaleCrop>false</ScaleCrop>
  <Company>ZTE</Company>
  <LinksUpToDate>false</LinksUpToDate>
  <CharactersWithSpaces>14258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2019-02-15T17:28:00Z</dcterms:created>
  <dcterms:modified xsi:type="dcterms:W3CDTF">2019-02-16T06:12:00Z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